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Layout w:type="fixed"/>
        <w:tblCellMar>
          <w:left w:w="72" w:type="dxa"/>
          <w:right w:w="72" w:type="dxa"/>
        </w:tblCellMar>
        <w:tblLook w:val="04A0" w:firstRow="1" w:lastRow="0" w:firstColumn="1" w:lastColumn="0" w:noHBand="0" w:noVBand="1"/>
      </w:tblPr>
      <w:tblGrid>
        <w:gridCol w:w="2304"/>
        <w:gridCol w:w="164"/>
        <w:gridCol w:w="2084"/>
        <w:gridCol w:w="2084"/>
        <w:gridCol w:w="2004"/>
        <w:gridCol w:w="270"/>
        <w:gridCol w:w="2340"/>
      </w:tblGrid>
      <w:tr w:rsidR="008B008B" w:rsidTr="008B008B">
        <w:trPr>
          <w:cantSplit/>
          <w:trHeight w:val="1411"/>
        </w:trPr>
        <w:tc>
          <w:tcPr>
            <w:tcW w:w="2304"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SENATE MEMBERS</w:t>
            </w:r>
          </w:p>
          <w:p w:rsidR="008B008B" w:rsidRDefault="008B008B">
            <w:pPr>
              <w:pStyle w:val="Centered"/>
              <w:spacing w:line="200" w:lineRule="exact"/>
              <w:rPr>
                <w:rFonts w:ascii="Segoe UI" w:hAnsi="Segoe UI" w:cs="Segoe UI"/>
                <w:b/>
              </w:rPr>
            </w:pPr>
            <w:r>
              <w:rPr>
                <w:rFonts w:ascii="Segoe UI" w:hAnsi="Segoe UI" w:cs="Segoe UI"/>
                <w:b/>
              </w:rPr>
              <w:t>Robert Stivers</w:t>
            </w:r>
          </w:p>
          <w:p w:rsidR="008B008B" w:rsidRDefault="008B008B">
            <w:pPr>
              <w:pStyle w:val="Centered"/>
              <w:spacing w:after="20" w:line="200" w:lineRule="exact"/>
              <w:rPr>
                <w:rFonts w:ascii="Segoe UI" w:hAnsi="Segoe UI" w:cs="Segoe UI"/>
                <w:szCs w:val="16"/>
              </w:rPr>
            </w:pPr>
            <w:r>
              <w:rPr>
                <w:rFonts w:ascii="Segoe UI" w:hAnsi="Segoe UI" w:cs="Segoe UI"/>
                <w:szCs w:val="16"/>
              </w:rPr>
              <w:t>President, LRC Co-Chair</w:t>
            </w:r>
          </w:p>
          <w:p w:rsidR="008B008B" w:rsidRDefault="00F72700">
            <w:pPr>
              <w:pStyle w:val="Centered"/>
              <w:spacing w:before="14" w:line="200" w:lineRule="exact"/>
              <w:rPr>
                <w:rFonts w:ascii="Segoe UI" w:hAnsi="Segoe UI" w:cs="Segoe UI"/>
                <w:b/>
              </w:rPr>
            </w:pPr>
            <w:r>
              <w:rPr>
                <w:rFonts w:ascii="Segoe UI" w:hAnsi="Segoe UI" w:cs="Segoe UI"/>
                <w:b/>
              </w:rPr>
              <w:t>Jimmy Higdon</w:t>
            </w:r>
          </w:p>
          <w:p w:rsidR="008B008B" w:rsidRDefault="008B008B" w:rsidP="00E16B2F">
            <w:pPr>
              <w:pStyle w:val="Centered"/>
              <w:spacing w:line="200" w:lineRule="exact"/>
              <w:rPr>
                <w:rFonts w:ascii="Segoe UI" w:hAnsi="Segoe UI" w:cs="Segoe UI"/>
                <w:szCs w:val="16"/>
              </w:rPr>
            </w:pPr>
            <w:r>
              <w:rPr>
                <w:rFonts w:ascii="Segoe UI" w:hAnsi="Segoe UI" w:cs="Segoe UI"/>
                <w:position w:val="2"/>
              </w:rPr>
              <w:t>President Pro Tem</w:t>
            </w:r>
            <w:r w:rsidR="00315A31">
              <w:rPr>
                <w:rFonts w:ascii="Segoe UI" w:hAnsi="Segoe UI" w:cs="Segoe UI"/>
                <w:position w:val="2"/>
              </w:rPr>
              <w:t>pore</w:t>
            </w:r>
            <w:r w:rsidR="00F72700">
              <w:rPr>
                <w:rFonts w:ascii="Segoe UI" w:hAnsi="Segoe UI" w:cs="Segoe UI"/>
                <w:position w:val="2"/>
              </w:rPr>
              <w:t xml:space="preserve"> </w:t>
            </w:r>
          </w:p>
          <w:p w:rsidR="008B008B" w:rsidRDefault="008B008B">
            <w:pPr>
              <w:pStyle w:val="Centered"/>
              <w:spacing w:before="14" w:line="200" w:lineRule="exact"/>
              <w:rPr>
                <w:rFonts w:ascii="Segoe UI" w:hAnsi="Segoe UI" w:cs="Segoe UI"/>
                <w:b/>
                <w:szCs w:val="16"/>
              </w:rPr>
            </w:pPr>
            <w:r>
              <w:rPr>
                <w:rFonts w:ascii="Segoe UI" w:hAnsi="Segoe UI" w:cs="Segoe UI"/>
                <w:b/>
              </w:rPr>
              <w:t>Damon Thayer</w:t>
            </w:r>
          </w:p>
          <w:p w:rsidR="008B008B" w:rsidRDefault="008B008B" w:rsidP="00E16B2F">
            <w:pPr>
              <w:pStyle w:val="Centered"/>
              <w:spacing w:line="200" w:lineRule="exact"/>
              <w:rPr>
                <w:rFonts w:ascii="Segoe UI" w:hAnsi="Segoe UI" w:cs="Segoe UI"/>
                <w:b/>
              </w:rPr>
            </w:pPr>
            <w:r>
              <w:rPr>
                <w:rFonts w:ascii="Segoe UI" w:hAnsi="Segoe UI" w:cs="Segoe UI"/>
                <w:szCs w:val="16"/>
              </w:rPr>
              <w:t>Majority Floor Leader</w:t>
            </w:r>
          </w:p>
          <w:p w:rsidR="008B008B" w:rsidRDefault="00F311C1">
            <w:pPr>
              <w:pStyle w:val="Centered"/>
              <w:spacing w:before="14" w:line="200" w:lineRule="exact"/>
              <w:rPr>
                <w:rFonts w:ascii="Segoe UI" w:hAnsi="Segoe UI" w:cs="Segoe UI"/>
                <w:b/>
              </w:rPr>
            </w:pPr>
            <w:r>
              <w:rPr>
                <w:rFonts w:ascii="Segoe UI" w:hAnsi="Segoe UI" w:cs="Segoe UI"/>
                <w:b/>
              </w:rPr>
              <w:t xml:space="preserve">Ray S. Jones </w:t>
            </w:r>
            <w:r w:rsidRPr="00F311C1">
              <w:rPr>
                <w:rFonts w:ascii="Segoe UI" w:hAnsi="Segoe UI" w:cs="Segoe UI"/>
                <w:b/>
              </w:rPr>
              <w:t>II</w:t>
            </w:r>
          </w:p>
          <w:p w:rsidR="008B008B" w:rsidRDefault="008B008B" w:rsidP="00E16B2F">
            <w:pPr>
              <w:pStyle w:val="Centered"/>
              <w:spacing w:line="200" w:lineRule="exact"/>
              <w:rPr>
                <w:rFonts w:ascii="Segoe UI" w:hAnsi="Segoe UI" w:cs="Segoe UI"/>
                <w:position w:val="2"/>
                <w:szCs w:val="16"/>
              </w:rPr>
            </w:pPr>
            <w:r>
              <w:rPr>
                <w:rFonts w:ascii="Segoe UI" w:hAnsi="Segoe UI" w:cs="Segoe UI"/>
                <w:position w:val="2"/>
                <w:szCs w:val="16"/>
              </w:rPr>
              <w:t>Minority Floor Leader</w:t>
            </w:r>
          </w:p>
          <w:p w:rsidR="008B008B" w:rsidRDefault="008B008B">
            <w:pPr>
              <w:pStyle w:val="Centered"/>
              <w:spacing w:before="14" w:line="200" w:lineRule="exact"/>
              <w:rPr>
                <w:rFonts w:ascii="Segoe UI" w:hAnsi="Segoe UI" w:cs="Segoe UI"/>
                <w:b/>
              </w:rPr>
            </w:pPr>
            <w:r>
              <w:rPr>
                <w:rFonts w:ascii="Segoe UI" w:hAnsi="Segoe UI" w:cs="Segoe UI"/>
                <w:b/>
              </w:rPr>
              <w:t>Dan “</w:t>
            </w:r>
            <w:proofErr w:type="spellStart"/>
            <w:r>
              <w:rPr>
                <w:rFonts w:ascii="Segoe UI" w:hAnsi="Segoe UI" w:cs="Segoe UI"/>
                <w:b/>
              </w:rPr>
              <w:t>Malano</w:t>
            </w:r>
            <w:proofErr w:type="spellEnd"/>
            <w:r>
              <w:rPr>
                <w:rFonts w:ascii="Segoe UI" w:hAnsi="Segoe UI" w:cs="Segoe UI"/>
                <w:b/>
              </w:rPr>
              <w:t xml:space="preserve">” </w:t>
            </w:r>
            <w:proofErr w:type="spellStart"/>
            <w:r>
              <w:rPr>
                <w:rFonts w:ascii="Segoe UI" w:hAnsi="Segoe UI" w:cs="Segoe UI"/>
                <w:b/>
              </w:rPr>
              <w:t>Seum</w:t>
            </w:r>
            <w:proofErr w:type="spellEnd"/>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Caucus Chair</w:t>
            </w:r>
          </w:p>
          <w:p w:rsidR="008B008B" w:rsidRDefault="008B008B">
            <w:pPr>
              <w:pStyle w:val="Centered"/>
              <w:spacing w:before="14" w:line="200" w:lineRule="exact"/>
              <w:rPr>
                <w:rFonts w:ascii="Segoe UI" w:hAnsi="Segoe UI" w:cs="Segoe UI"/>
                <w:b/>
              </w:rPr>
            </w:pPr>
            <w:r>
              <w:rPr>
                <w:rFonts w:ascii="Segoe UI" w:hAnsi="Segoe UI" w:cs="Segoe UI"/>
                <w:b/>
              </w:rPr>
              <w:t>Dorsey Ridley</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Minority Caucus Chair</w:t>
            </w:r>
          </w:p>
          <w:p w:rsidR="008B008B" w:rsidRDefault="00F72700">
            <w:pPr>
              <w:pStyle w:val="Centered"/>
              <w:spacing w:before="14" w:line="200" w:lineRule="exact"/>
              <w:rPr>
                <w:rFonts w:ascii="Segoe UI" w:hAnsi="Segoe UI" w:cs="Segoe UI"/>
                <w:b/>
              </w:rPr>
            </w:pPr>
            <w:r>
              <w:rPr>
                <w:rFonts w:ascii="Segoe UI" w:hAnsi="Segoe UI" w:cs="Segoe UI"/>
                <w:b/>
                <w:szCs w:val="16"/>
              </w:rPr>
              <w:t>Mike Wilson</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Whip</w:t>
            </w:r>
            <w:r w:rsidR="00E16B2F">
              <w:rPr>
                <w:rFonts w:ascii="Segoe UI" w:hAnsi="Segoe UI" w:cs="Segoe UI"/>
                <w:b/>
                <w:sz w:val="18"/>
              </w:rPr>
              <w:fldChar w:fldCharType="begin"/>
            </w:r>
            <w:r w:rsidR="00E16B2F">
              <w:rPr>
                <w:rFonts w:ascii="Segoe UI" w:hAnsi="Segoe UI" w:cs="Segoe UI"/>
                <w:b/>
                <w:sz w:val="18"/>
              </w:rPr>
              <w:instrText>SYMBOL 32 \f "Symbol"</w:instrText>
            </w:r>
            <w:r w:rsidR="00E16B2F">
              <w:rPr>
                <w:rFonts w:ascii="Segoe UI" w:hAnsi="Segoe UI" w:cs="Segoe UI"/>
                <w:b/>
                <w:sz w:val="18"/>
              </w:rPr>
              <w:fldChar w:fldCharType="end"/>
            </w:r>
          </w:p>
          <w:p w:rsidR="008B008B" w:rsidRDefault="00F72700">
            <w:pPr>
              <w:pStyle w:val="Centered"/>
              <w:spacing w:before="14" w:line="200" w:lineRule="exact"/>
              <w:rPr>
                <w:rFonts w:ascii="Segoe UI" w:hAnsi="Segoe UI" w:cs="Segoe UI"/>
                <w:b/>
              </w:rPr>
            </w:pPr>
            <w:r>
              <w:rPr>
                <w:rFonts w:ascii="Segoe UI" w:hAnsi="Segoe UI" w:cs="Segoe UI"/>
                <w:b/>
              </w:rPr>
              <w:t>Dennis Parrett</w:t>
            </w:r>
          </w:p>
          <w:p w:rsidR="008B008B" w:rsidRDefault="008B008B">
            <w:pPr>
              <w:pStyle w:val="Centered"/>
              <w:spacing w:line="200" w:lineRule="exact"/>
              <w:rPr>
                <w:rFonts w:ascii="Segoe UI" w:hAnsi="Segoe UI" w:cs="Segoe UI"/>
                <w:b/>
              </w:rPr>
            </w:pPr>
            <w:r>
              <w:rPr>
                <w:rFonts w:ascii="Segoe UI" w:hAnsi="Segoe UI" w:cs="Segoe UI"/>
                <w:position w:val="2"/>
                <w:szCs w:val="16"/>
              </w:rPr>
              <w:t>Minority Whip</w:t>
            </w:r>
          </w:p>
        </w:tc>
        <w:tc>
          <w:tcPr>
            <w:tcW w:w="164" w:type="dxa"/>
          </w:tcPr>
          <w:p w:rsidR="008B008B" w:rsidRDefault="008B008B">
            <w:pPr>
              <w:pStyle w:val="Centered"/>
              <w:rPr>
                <w:rFonts w:ascii="Segoe UI" w:hAnsi="Segoe UI" w:cs="Segoe UI"/>
                <w:szCs w:val="16"/>
              </w:rPr>
            </w:pPr>
          </w:p>
        </w:tc>
        <w:tc>
          <w:tcPr>
            <w:tcW w:w="6172" w:type="dxa"/>
            <w:gridSpan w:val="3"/>
            <w:vMerge w:val="restart"/>
            <w:vAlign w:val="center"/>
            <w:hideMark/>
          </w:tcPr>
          <w:p w:rsidR="008B008B" w:rsidRDefault="008B008B">
            <w:pPr>
              <w:pStyle w:val="Centered"/>
              <w:spacing w:before="80"/>
              <w:rPr>
                <w:rFonts w:ascii="Segoe UI" w:hAnsi="Segoe UI" w:cs="Segoe UI"/>
              </w:rPr>
            </w:pPr>
            <w:bookmarkStart w:id="0" w:name="startseal"/>
            <w:bookmarkEnd w:id="0"/>
            <w:r>
              <w:rPr>
                <w:rFonts w:ascii="Segoe UI" w:hAnsi="Segoe UI" w:cs="Segoe UI"/>
                <w:noProof/>
                <w:szCs w:val="16"/>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 w:type="dxa"/>
          </w:tcPr>
          <w:p w:rsidR="008B008B" w:rsidRDefault="008B008B">
            <w:pPr>
              <w:pStyle w:val="Centered"/>
              <w:rPr>
                <w:rFonts w:ascii="Segoe UI" w:hAnsi="Segoe UI" w:cs="Segoe UI"/>
                <w:szCs w:val="16"/>
              </w:rPr>
            </w:pPr>
          </w:p>
        </w:tc>
        <w:tc>
          <w:tcPr>
            <w:tcW w:w="2340"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HOUSE MEMBERS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pPr>
              <w:pStyle w:val="Centered"/>
              <w:spacing w:before="10" w:line="200" w:lineRule="exact"/>
              <w:rPr>
                <w:rFonts w:ascii="Segoe UI" w:hAnsi="Segoe UI" w:cs="Segoe UI"/>
                <w:b/>
              </w:rPr>
            </w:pPr>
            <w:r>
              <w:rPr>
                <w:rFonts w:ascii="Segoe UI" w:hAnsi="Segoe UI" w:cs="Segoe UI"/>
                <w:b/>
              </w:rPr>
              <w:t xml:space="preserve">David </w:t>
            </w:r>
            <w:r w:rsidR="008A28B6">
              <w:rPr>
                <w:rFonts w:ascii="Segoe UI" w:hAnsi="Segoe UI" w:cs="Segoe UI"/>
                <w:b/>
              </w:rPr>
              <w:t xml:space="preserve">W. </w:t>
            </w:r>
            <w:r>
              <w:rPr>
                <w:rFonts w:ascii="Segoe UI" w:hAnsi="Segoe UI" w:cs="Segoe UI"/>
                <w:b/>
              </w:rPr>
              <w:t>Osborne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ED6DEC">
            <w:pPr>
              <w:pStyle w:val="Centered"/>
              <w:spacing w:after="20" w:line="200" w:lineRule="exact"/>
              <w:rPr>
                <w:rFonts w:ascii="Segoe UI" w:hAnsi="Segoe UI" w:cs="Segoe UI"/>
                <w:szCs w:val="16"/>
              </w:rPr>
            </w:pPr>
            <w:r>
              <w:rPr>
                <w:rFonts w:ascii="Segoe UI" w:hAnsi="Segoe UI" w:cs="Segoe UI"/>
                <w:szCs w:val="16"/>
              </w:rPr>
              <w:t>Speaker Pro Tem</w:t>
            </w:r>
            <w:r w:rsidR="0021294F">
              <w:rPr>
                <w:rFonts w:ascii="Segoe UI" w:hAnsi="Segoe UI" w:cs="Segoe UI"/>
                <w:szCs w:val="16"/>
              </w:rPr>
              <w:t>pore</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rsidP="0029063B">
            <w:pPr>
              <w:pStyle w:val="Centered"/>
              <w:spacing w:before="14" w:line="200" w:lineRule="exact"/>
              <w:rPr>
                <w:rFonts w:ascii="Segoe UI" w:hAnsi="Segoe UI" w:cs="Segoe UI"/>
                <w:b/>
                <w:szCs w:val="16"/>
              </w:rPr>
            </w:pPr>
            <w:r>
              <w:rPr>
                <w:rFonts w:ascii="Segoe UI" w:hAnsi="Segoe UI" w:cs="Segoe UI"/>
                <w:b/>
                <w:szCs w:val="16"/>
              </w:rPr>
              <w:t>Jonathan Shell</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3D7F32" w:rsidP="0029063B">
            <w:pPr>
              <w:pStyle w:val="Centered"/>
              <w:spacing w:line="200" w:lineRule="exact"/>
              <w:rPr>
                <w:rFonts w:ascii="Segoe UI" w:hAnsi="Segoe UI" w:cs="Segoe UI"/>
              </w:rPr>
            </w:pPr>
            <w:r>
              <w:rPr>
                <w:rFonts w:ascii="Segoe UI" w:hAnsi="Segoe UI" w:cs="Segoe UI"/>
              </w:rPr>
              <w:t>Majority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8B008B" w:rsidP="0029063B">
            <w:pPr>
              <w:pStyle w:val="Centered"/>
              <w:spacing w:before="14" w:line="200" w:lineRule="exact"/>
              <w:rPr>
                <w:rFonts w:ascii="Segoe UI" w:hAnsi="Segoe UI" w:cs="Segoe UI"/>
                <w:b/>
                <w:szCs w:val="16"/>
              </w:rPr>
            </w:pPr>
            <w:r>
              <w:rPr>
                <w:rFonts w:ascii="Segoe UI" w:hAnsi="Segoe UI" w:cs="Segoe UI"/>
                <w:b/>
                <w:sz w:val="18"/>
              </w:rPr>
              <w:fldChar w:fldCharType="begin"/>
            </w:r>
            <w:r>
              <w:rPr>
                <w:rFonts w:ascii="Segoe UI" w:hAnsi="Segoe UI" w:cs="Segoe UI"/>
                <w:b/>
                <w:sz w:val="18"/>
              </w:rPr>
              <w:instrText>SYMBOL 32 \f "Symbol"</w:instrText>
            </w:r>
            <w:r>
              <w:rPr>
                <w:rFonts w:ascii="Segoe UI" w:hAnsi="Segoe UI" w:cs="Segoe UI"/>
                <w:b/>
                <w:sz w:val="18"/>
              </w:rPr>
              <w:fldChar w:fldCharType="end"/>
            </w:r>
            <w:r>
              <w:rPr>
                <w:rFonts w:ascii="Segoe UI" w:hAnsi="Segoe UI" w:cs="Segoe UI"/>
                <w:b/>
                <w:szCs w:val="16"/>
              </w:rPr>
              <w:t>Rocky Adkins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D62E4E" w:rsidP="00ED6DEC">
            <w:pPr>
              <w:pStyle w:val="Centered"/>
              <w:spacing w:after="20" w:line="200" w:lineRule="exact"/>
              <w:rPr>
                <w:rFonts w:ascii="Segoe UI" w:hAnsi="Segoe UI" w:cs="Segoe UI"/>
              </w:rPr>
            </w:pPr>
            <w:r>
              <w:rPr>
                <w:rFonts w:ascii="Segoe UI" w:hAnsi="Segoe UI" w:cs="Segoe UI"/>
              </w:rPr>
              <w:t>Minority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8B008B" w:rsidP="0029063B">
            <w:pPr>
              <w:pStyle w:val="Centered"/>
              <w:spacing w:before="14" w:line="200" w:lineRule="exact"/>
              <w:rPr>
                <w:rFonts w:ascii="Segoe UI" w:hAnsi="Segoe UI" w:cs="Segoe UI"/>
                <w:b/>
                <w:szCs w:val="16"/>
              </w:rPr>
            </w:pPr>
            <w:r>
              <w:rPr>
                <w:rFonts w:ascii="Segoe UI" w:hAnsi="Segoe UI" w:cs="Segoe UI"/>
                <w:b/>
                <w:szCs w:val="16"/>
              </w:rPr>
              <w:t xml:space="preserve">David </w:t>
            </w:r>
            <w:r w:rsidR="008A28B6">
              <w:rPr>
                <w:rFonts w:ascii="Segoe UI" w:hAnsi="Segoe UI" w:cs="Segoe UI"/>
                <w:b/>
                <w:szCs w:val="16"/>
              </w:rPr>
              <w:t xml:space="preserve">R. </w:t>
            </w:r>
            <w:r>
              <w:rPr>
                <w:rFonts w:ascii="Segoe UI" w:hAnsi="Segoe UI" w:cs="Segoe UI"/>
                <w:b/>
                <w:szCs w:val="16"/>
              </w:rPr>
              <w:t>Meade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0"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Pr>
                <w:rFonts w:ascii="Segoe UI" w:hAnsi="Segoe UI" w:cs="Segoe UI"/>
                <w:b/>
                <w:szCs w:val="16"/>
              </w:rPr>
              <w:t>Dennis Keene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Minority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rsidP="0029063B">
            <w:pPr>
              <w:pStyle w:val="Centered"/>
              <w:spacing w:before="14" w:line="200" w:lineRule="exact"/>
              <w:rPr>
                <w:rFonts w:ascii="Segoe UI" w:hAnsi="Segoe UI" w:cs="Segoe UI"/>
                <w:b/>
                <w:szCs w:val="16"/>
              </w:rPr>
            </w:pPr>
            <w:r>
              <w:rPr>
                <w:rFonts w:ascii="Segoe UI" w:hAnsi="Segoe UI" w:cs="Segoe UI"/>
                <w:b/>
                <w:szCs w:val="16"/>
              </w:rPr>
              <w:t xml:space="preserve">Kevin </w:t>
            </w:r>
            <w:r w:rsidRPr="0029063B">
              <w:rPr>
                <w:rFonts w:ascii="Segoe UI" w:hAnsi="Segoe UI" w:cs="Segoe UI"/>
                <w:b/>
              </w:rPr>
              <w:t>Bratcher</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4"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Pr>
                <w:rFonts w:ascii="Segoe UI" w:hAnsi="Segoe UI" w:cs="Segoe UI"/>
                <w:b/>
                <w:szCs w:val="16"/>
              </w:rPr>
              <w:t>Wilson Stone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rsidP="00A722E1">
            <w:pPr>
              <w:pStyle w:val="Centered"/>
              <w:spacing w:line="200" w:lineRule="exact"/>
              <w:rPr>
                <w:rFonts w:ascii="Segoe UI" w:hAnsi="Segoe UI" w:cs="Segoe UI"/>
              </w:rPr>
            </w:pPr>
            <w:r>
              <w:rPr>
                <w:rFonts w:ascii="Segoe UI" w:hAnsi="Segoe UI" w:cs="Segoe UI"/>
                <w:position w:val="2"/>
                <w:szCs w:val="16"/>
              </w:rPr>
              <w:t>Minority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A20B69" w:rsidRPr="00A20B69" w:rsidRDefault="00A20B69" w:rsidP="00A722E1">
            <w:pPr>
              <w:pStyle w:val="Centered"/>
              <w:spacing w:line="200" w:lineRule="exact"/>
              <w:rPr>
                <w:rFonts w:ascii="Segoe UI" w:hAnsi="Segoe UI" w:cs="Segoe UI"/>
                <w:b/>
              </w:rPr>
            </w:pPr>
          </w:p>
        </w:tc>
      </w:tr>
      <w:tr w:rsidR="008B008B" w:rsidTr="008B008B">
        <w:trPr>
          <w:cantSplit/>
          <w:trHeight w:val="38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Minion Pro" w:hAnsi="Minion Pro" w:cs="Segoe UI"/>
                <w:szCs w:val="16"/>
              </w:rPr>
            </w:pPr>
          </w:p>
        </w:tc>
        <w:tc>
          <w:tcPr>
            <w:tcW w:w="10530" w:type="dxa"/>
            <w:gridSpan w:val="3"/>
            <w:vMerge/>
            <w:vAlign w:val="center"/>
            <w:hideMark/>
          </w:tcPr>
          <w:p w:rsidR="008B008B" w:rsidRDefault="008B008B">
            <w:pPr>
              <w:jc w:val="center"/>
              <w:rPr>
                <w:rFonts w:ascii="Segoe UI" w:eastAsia="Times New Roman" w:hAnsi="Segoe UI" w:cs="Segoe UI"/>
                <w:sz w:val="16"/>
                <w:szCs w:val="20"/>
              </w:rPr>
            </w:pPr>
          </w:p>
        </w:tc>
        <w:tc>
          <w:tcPr>
            <w:tcW w:w="270" w:type="dxa"/>
          </w:tcPr>
          <w:p w:rsidR="008B008B" w:rsidRDefault="008B008B">
            <w:pPr>
              <w:pStyle w:val="Centered"/>
              <w:rPr>
                <w:rFonts w:ascii="Minion Pro" w:hAnsi="Minion Pro"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vAlign w:val="bottom"/>
            <w:hideMark/>
          </w:tcPr>
          <w:p w:rsidR="008B008B" w:rsidRPr="008676F0" w:rsidRDefault="008B008B">
            <w:pPr>
              <w:pStyle w:val="Centered"/>
              <w:spacing w:before="40"/>
              <w:rPr>
                <w:rFonts w:ascii="Minion Pro" w:hAnsi="Minion Pro" w:cs="Segoe UI"/>
                <w:position w:val="6"/>
                <w:sz w:val="24"/>
                <w:szCs w:val="24"/>
              </w:rPr>
            </w:pPr>
            <w:r w:rsidRPr="008676F0">
              <w:rPr>
                <w:rFonts w:ascii="Minion Pro" w:hAnsi="Minion Pro" w:cs="Segoe UI"/>
                <w:b/>
                <w:position w:val="-4"/>
                <w:sz w:val="24"/>
                <w:szCs w:val="24"/>
              </w:rPr>
              <w:t>LEGISLATIVE RESEARCH COMMISSION</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hideMark/>
          </w:tcPr>
          <w:p w:rsidR="008B008B" w:rsidRDefault="008B008B">
            <w:pPr>
              <w:jc w:val="center"/>
              <w:rPr>
                <w:rFonts w:cs="Times New Roman"/>
                <w:szCs w:val="24"/>
              </w:rPr>
            </w:pPr>
            <w:r>
              <w:rPr>
                <w:rFonts w:ascii="Minion Pro" w:hAnsi="Minion Pro" w:cs="Segoe UI"/>
                <w:b/>
                <w:position w:val="6"/>
                <w:sz w:val="18"/>
                <w:szCs w:val="18"/>
              </w:rPr>
              <w:t>State Capitol     700 Capitol Avenue     Frankfort KY  40601</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szCs w:val="16"/>
              </w:rPr>
            </w:pPr>
          </w:p>
        </w:tc>
        <w:tc>
          <w:tcPr>
            <w:tcW w:w="2084" w:type="dxa"/>
            <w:vMerge w:val="restart"/>
            <w:hideMark/>
          </w:tcPr>
          <w:p w:rsidR="008B008B" w:rsidRDefault="008B008B">
            <w:pPr>
              <w:pStyle w:val="Centered"/>
              <w:spacing w:before="40" w:after="80"/>
              <w:rPr>
                <w:rFonts w:ascii="Segoe UI" w:hAnsi="Segoe UI" w:cs="Segoe UI"/>
                <w:b/>
              </w:rPr>
            </w:pPr>
            <w:r>
              <w:rPr>
                <w:rFonts w:ascii="Segoe UI" w:hAnsi="Segoe UI" w:cs="Segoe UI"/>
                <w:b/>
              </w:rPr>
              <w:t>502-564-8100</w:t>
            </w:r>
          </w:p>
          <w:p w:rsidR="008B008B" w:rsidRDefault="008B008B">
            <w:pPr>
              <w:pStyle w:val="Centered"/>
              <w:rPr>
                <w:rFonts w:ascii="Segoe UI" w:hAnsi="Segoe UI" w:cs="Segoe UI"/>
              </w:rPr>
            </w:pPr>
            <w:r>
              <w:rPr>
                <w:rFonts w:ascii="Segoe UI" w:hAnsi="Segoe UI" w:cs="Segoe UI"/>
              </w:rPr>
              <w:t>Capitol Fax 502-564-2922</w:t>
            </w:r>
          </w:p>
          <w:p w:rsidR="008B008B" w:rsidRDefault="008B008B">
            <w:pPr>
              <w:pStyle w:val="Centered"/>
              <w:rPr>
                <w:rFonts w:ascii="Segoe UI" w:hAnsi="Segoe UI" w:cs="Segoe UI"/>
              </w:rPr>
            </w:pPr>
            <w:r>
              <w:rPr>
                <w:rFonts w:ascii="Segoe UI" w:hAnsi="Segoe UI" w:cs="Segoe UI"/>
              </w:rPr>
              <w:t>Annex Fax 502-564-6543</w:t>
            </w:r>
          </w:p>
          <w:p w:rsidR="008B008B" w:rsidRDefault="008B008B" w:rsidP="00E16B2F">
            <w:pPr>
              <w:pStyle w:val="Centered"/>
              <w:spacing w:after="120"/>
              <w:rPr>
                <w:rFonts w:ascii="Segoe UI" w:hAnsi="Segoe UI" w:cs="Segoe UI"/>
              </w:rPr>
            </w:pPr>
            <w:r>
              <w:rPr>
                <w:rFonts w:ascii="Segoe UI" w:hAnsi="Segoe UI" w:cs="Segoe UI"/>
              </w:rPr>
              <w:t>lrc.ky.gov</w:t>
            </w:r>
          </w:p>
          <w:p w:rsidR="008B008B" w:rsidRDefault="008B008B">
            <w:pPr>
              <w:pStyle w:val="Centered"/>
              <w:rPr>
                <w:rFonts w:ascii="Minion Pro" w:hAnsi="Minion Pro" w:cs="Segoe UI"/>
              </w:rPr>
            </w:pPr>
          </w:p>
        </w:tc>
        <w:tc>
          <w:tcPr>
            <w:tcW w:w="2274" w:type="dxa"/>
            <w:gridSpan w:val="2"/>
          </w:tcPr>
          <w:p w:rsidR="008B008B" w:rsidRDefault="008B008B">
            <w:pPr>
              <w:pStyle w:val="Centered"/>
              <w:jc w:val="left"/>
              <w:rPr>
                <w:rFonts w:ascii="Minion Pro" w:hAnsi="Minion Pro" w:cs="Segoe UI"/>
                <w:b/>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b/>
                <w:position w:val="-2"/>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274" w:type="dxa"/>
            <w:gridSpan w:val="2"/>
          </w:tcPr>
          <w:p w:rsidR="008B008B" w:rsidRDefault="008B008B">
            <w:pPr>
              <w:pStyle w:val="Centered"/>
              <w:jc w:val="left"/>
              <w:rPr>
                <w:rFonts w:ascii="Minion Pro" w:hAnsi="Minion Pro" w:cs="Segoe UI"/>
                <w:b/>
                <w:position w:val="-2"/>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b/>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702"/>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bl>
    <w:p w:rsidR="00536A4D" w:rsidRDefault="00536A4D" w:rsidP="00000363">
      <w:pPr>
        <w:rPr>
          <w:rFonts w:cs="Times New Roman"/>
          <w:szCs w:val="24"/>
        </w:rPr>
        <w:sectPr w:rsidR="00536A4D" w:rsidSect="000147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 w:right="576" w:bottom="1440" w:left="576" w:header="634" w:footer="720" w:gutter="0"/>
          <w:cols w:space="720"/>
          <w:docGrid w:linePitch="360"/>
        </w:sectPr>
      </w:pPr>
    </w:p>
    <w:p w:rsidR="00B85478" w:rsidRPr="003D0663" w:rsidRDefault="00B85478" w:rsidP="00B85478">
      <w:pPr>
        <w:pStyle w:val="Default"/>
        <w:jc w:val="center"/>
        <w:rPr>
          <w:u w:val="single"/>
        </w:rPr>
      </w:pPr>
      <w:bookmarkStart w:id="1" w:name="docstart"/>
      <w:bookmarkEnd w:id="1"/>
      <w:r w:rsidRPr="003D0663">
        <w:rPr>
          <w:u w:val="single"/>
        </w:rPr>
        <w:t>M E M O R A N D U M</w:t>
      </w:r>
    </w:p>
    <w:p w:rsidR="00B85478" w:rsidRPr="003D0663" w:rsidRDefault="00B85478" w:rsidP="00B85478">
      <w:pPr>
        <w:pStyle w:val="Default"/>
        <w:jc w:val="both"/>
      </w:pPr>
    </w:p>
    <w:p w:rsidR="00B85478" w:rsidRPr="003D0663" w:rsidRDefault="00B85478" w:rsidP="00B85478">
      <w:pPr>
        <w:pStyle w:val="Default"/>
        <w:jc w:val="both"/>
      </w:pPr>
      <w:r w:rsidRPr="003D0663">
        <w:t xml:space="preserve">TO: Education Assessment and Accountability Review Subcommittee </w:t>
      </w:r>
    </w:p>
    <w:p w:rsidR="00B85478" w:rsidRPr="003D0663" w:rsidRDefault="00B85478" w:rsidP="00B85478">
      <w:pPr>
        <w:pStyle w:val="Default"/>
        <w:jc w:val="both"/>
      </w:pPr>
    </w:p>
    <w:p w:rsidR="00B85478" w:rsidRPr="003D0663" w:rsidRDefault="00B85478" w:rsidP="00B85478">
      <w:pPr>
        <w:pStyle w:val="Default"/>
        <w:jc w:val="both"/>
      </w:pPr>
      <w:r w:rsidRPr="003D0663">
        <w:t xml:space="preserve">FROM: Sen. Max Wise and Rep. Daniel Elliott, Co-Chairs </w:t>
      </w:r>
    </w:p>
    <w:p w:rsidR="00B85478" w:rsidRPr="003D0663" w:rsidRDefault="00B85478" w:rsidP="00B85478">
      <w:pPr>
        <w:pStyle w:val="Default"/>
        <w:jc w:val="both"/>
      </w:pPr>
    </w:p>
    <w:p w:rsidR="00B85478" w:rsidRPr="003D0663" w:rsidRDefault="00B85478" w:rsidP="00B85478">
      <w:pPr>
        <w:pStyle w:val="Default"/>
        <w:jc w:val="both"/>
      </w:pPr>
      <w:r w:rsidRPr="003D0663">
        <w:t xml:space="preserve">DATE: November </w:t>
      </w:r>
      <w:r>
        <w:t>15</w:t>
      </w:r>
      <w:r w:rsidRPr="003D0663">
        <w:t>, 20</w:t>
      </w:r>
      <w:r>
        <w:t>18</w:t>
      </w:r>
      <w:r w:rsidRPr="003D0663">
        <w:t xml:space="preserve"> </w:t>
      </w:r>
    </w:p>
    <w:p w:rsidR="00B85478" w:rsidRPr="003D0663" w:rsidRDefault="00B85478" w:rsidP="00B85478">
      <w:pPr>
        <w:pStyle w:val="Default"/>
        <w:jc w:val="both"/>
      </w:pPr>
    </w:p>
    <w:p w:rsidR="00B85478" w:rsidRPr="003D0663" w:rsidRDefault="00B85478" w:rsidP="00B85478">
      <w:pPr>
        <w:pStyle w:val="Default"/>
        <w:jc w:val="both"/>
      </w:pPr>
      <w:r w:rsidRPr="003D0663">
        <w:t xml:space="preserve">SUBJECT: </w:t>
      </w:r>
      <w:proofErr w:type="spellStart"/>
      <w:r w:rsidRPr="003D0663">
        <w:t>OEA</w:t>
      </w:r>
      <w:proofErr w:type="spellEnd"/>
      <w:r w:rsidRPr="003D0663">
        <w:t xml:space="preserve"> 201</w:t>
      </w:r>
      <w:r>
        <w:t>9</w:t>
      </w:r>
      <w:r w:rsidRPr="003D0663">
        <w:t xml:space="preserve"> Study Agenda </w:t>
      </w:r>
    </w:p>
    <w:p w:rsidR="00B85478" w:rsidRDefault="00B85478" w:rsidP="00B85478">
      <w:pPr>
        <w:pStyle w:val="Default"/>
        <w:jc w:val="both"/>
      </w:pPr>
    </w:p>
    <w:p w:rsidR="0075294B" w:rsidRPr="003D0663" w:rsidRDefault="0075294B" w:rsidP="00B85478">
      <w:pPr>
        <w:pStyle w:val="Default"/>
        <w:jc w:val="both"/>
      </w:pPr>
    </w:p>
    <w:p w:rsidR="00B85478" w:rsidRPr="003D0663" w:rsidRDefault="00B85478" w:rsidP="00B85478">
      <w:pPr>
        <w:pStyle w:val="Default"/>
        <w:jc w:val="both"/>
      </w:pPr>
      <w:r w:rsidRPr="003D0663">
        <w:t>Pursuant to KRS 7.410, the Education Assessment and Accountability Review Subcommittee (</w:t>
      </w:r>
      <w:proofErr w:type="spellStart"/>
      <w:r w:rsidRPr="003D0663">
        <w:t>EAARS</w:t>
      </w:r>
      <w:proofErr w:type="spellEnd"/>
      <w:r w:rsidRPr="003D0663">
        <w:t>) shall adopt an annual research agenda for the Office of Education Accountability (</w:t>
      </w:r>
      <w:proofErr w:type="spellStart"/>
      <w:r w:rsidRPr="003D0663">
        <w:t>OEA</w:t>
      </w:r>
      <w:proofErr w:type="spellEnd"/>
      <w:r w:rsidRPr="003D0663">
        <w:t xml:space="preserve">). The annual agenda may include studies, research, and investigations considered to be significant by the </w:t>
      </w:r>
      <w:proofErr w:type="spellStart"/>
      <w:r w:rsidRPr="003D0663">
        <w:t>EAARS</w:t>
      </w:r>
      <w:proofErr w:type="spellEnd"/>
      <w:r w:rsidRPr="003D0663">
        <w:t xml:space="preserve">. </w:t>
      </w:r>
    </w:p>
    <w:p w:rsidR="00B85478" w:rsidRPr="003D0663" w:rsidRDefault="00B85478" w:rsidP="00B85478">
      <w:pPr>
        <w:pStyle w:val="Default"/>
        <w:jc w:val="both"/>
      </w:pPr>
    </w:p>
    <w:p w:rsidR="00B85478" w:rsidRPr="007A6A92" w:rsidRDefault="00B85478" w:rsidP="00B85478">
      <w:pPr>
        <w:jc w:val="both"/>
        <w:rPr>
          <w:rFonts w:cs="Times New Roman"/>
          <w:szCs w:val="24"/>
        </w:rPr>
      </w:pPr>
      <w:r w:rsidRPr="003D0663">
        <w:rPr>
          <w:rFonts w:cs="Times New Roman"/>
          <w:szCs w:val="24"/>
        </w:rPr>
        <w:t xml:space="preserve">In addition to the three studies below, </w:t>
      </w:r>
      <w:proofErr w:type="spellStart"/>
      <w:r w:rsidRPr="003D0663">
        <w:rPr>
          <w:rFonts w:cs="Times New Roman"/>
          <w:szCs w:val="24"/>
        </w:rPr>
        <w:t>OEA</w:t>
      </w:r>
      <w:proofErr w:type="spellEnd"/>
      <w:r w:rsidRPr="003D0663">
        <w:rPr>
          <w:rFonts w:cs="Times New Roman"/>
          <w:szCs w:val="24"/>
        </w:rPr>
        <w:t xml:space="preserve"> </w:t>
      </w:r>
      <w:r>
        <w:rPr>
          <w:rFonts w:cs="Times New Roman"/>
          <w:szCs w:val="24"/>
        </w:rPr>
        <w:t>shall</w:t>
      </w:r>
      <w:r w:rsidRPr="003D0663">
        <w:rPr>
          <w:rFonts w:cs="Times New Roman"/>
          <w:szCs w:val="24"/>
        </w:rPr>
        <w:t xml:space="preserve"> also prepare the annual District Data Profiles, a one-stop source of comprehensive district-level education data, including comparative data for all districts.</w:t>
      </w:r>
    </w:p>
    <w:p w:rsidR="00B85478" w:rsidRPr="007A6A92" w:rsidRDefault="00B85478" w:rsidP="00B85478">
      <w:pPr>
        <w:jc w:val="both"/>
        <w:rPr>
          <w:rFonts w:cs="Times New Roman"/>
          <w:b/>
          <w:szCs w:val="24"/>
          <w:u w:val="single"/>
        </w:rPr>
      </w:pPr>
    </w:p>
    <w:p w:rsidR="007A6A92" w:rsidRPr="007A6A92" w:rsidRDefault="007A6A92" w:rsidP="00B85478">
      <w:pPr>
        <w:jc w:val="both"/>
        <w:rPr>
          <w:rFonts w:cs="Times New Roman"/>
          <w:b/>
          <w:szCs w:val="24"/>
          <w:u w:val="single"/>
        </w:rPr>
      </w:pPr>
      <w:bookmarkStart w:id="2" w:name="_GoBack"/>
      <w:bookmarkEnd w:id="2"/>
    </w:p>
    <w:p w:rsidR="00B85478" w:rsidRPr="007A6A92" w:rsidRDefault="00B85478" w:rsidP="00B85478">
      <w:pPr>
        <w:jc w:val="both"/>
        <w:rPr>
          <w:rFonts w:cs="Times New Roman"/>
          <w:b/>
          <w:szCs w:val="24"/>
          <w:u w:val="single"/>
        </w:rPr>
      </w:pPr>
      <w:r w:rsidRPr="007A6A92">
        <w:rPr>
          <w:rFonts w:cs="Times New Roman"/>
          <w:b/>
          <w:szCs w:val="24"/>
          <w:u w:val="single"/>
        </w:rPr>
        <w:t>201</w:t>
      </w:r>
      <w:r w:rsidR="00D87098" w:rsidRPr="007A6A92">
        <w:rPr>
          <w:rFonts w:cs="Times New Roman"/>
          <w:b/>
          <w:szCs w:val="24"/>
          <w:u w:val="single"/>
        </w:rPr>
        <w:t>9</w:t>
      </w:r>
      <w:r w:rsidRPr="007A6A92">
        <w:rPr>
          <w:rFonts w:cs="Times New Roman"/>
          <w:b/>
          <w:szCs w:val="24"/>
          <w:u w:val="single"/>
        </w:rPr>
        <w:t xml:space="preserve"> Approved Study Topics</w:t>
      </w:r>
    </w:p>
    <w:p w:rsidR="00B85478" w:rsidRPr="007A6A92" w:rsidRDefault="00B85478" w:rsidP="00B85478">
      <w:pPr>
        <w:pStyle w:val="ListParagraph"/>
        <w:jc w:val="both"/>
        <w:rPr>
          <w:rFonts w:ascii="Times New Roman" w:hAnsi="Times New Roman" w:cs="Times New Roman"/>
          <w:sz w:val="24"/>
          <w:szCs w:val="24"/>
        </w:rPr>
      </w:pPr>
    </w:p>
    <w:p w:rsidR="007A6A92" w:rsidRPr="007A6A92" w:rsidRDefault="007A6A92" w:rsidP="00B85478">
      <w:pPr>
        <w:pStyle w:val="ListParagraph"/>
        <w:jc w:val="both"/>
        <w:rPr>
          <w:rFonts w:ascii="Times New Roman" w:hAnsi="Times New Roman" w:cs="Times New Roman"/>
          <w:sz w:val="24"/>
          <w:szCs w:val="24"/>
        </w:rPr>
      </w:pPr>
    </w:p>
    <w:p w:rsidR="00686462" w:rsidRPr="007A6A92" w:rsidRDefault="00686462" w:rsidP="00B85478">
      <w:pPr>
        <w:pStyle w:val="ListParagraph"/>
        <w:jc w:val="both"/>
        <w:rPr>
          <w:rFonts w:ascii="Times New Roman" w:hAnsi="Times New Roman" w:cs="Times New Roman"/>
          <w:sz w:val="24"/>
          <w:szCs w:val="24"/>
        </w:rPr>
      </w:pPr>
    </w:p>
    <w:p w:rsidR="00D87098" w:rsidRPr="007A6A92" w:rsidRDefault="00D87098" w:rsidP="007A6A92">
      <w:pPr>
        <w:pStyle w:val="ListParagraph"/>
        <w:numPr>
          <w:ilvl w:val="0"/>
          <w:numId w:val="13"/>
        </w:numPr>
        <w:jc w:val="both"/>
        <w:rPr>
          <w:rFonts w:ascii="Times New Roman" w:hAnsi="Times New Roman" w:cs="Times New Roman"/>
          <w:sz w:val="24"/>
          <w:szCs w:val="24"/>
        </w:rPr>
      </w:pPr>
      <w:r w:rsidRPr="007A6A92">
        <w:rPr>
          <w:rFonts w:ascii="Times New Roman" w:hAnsi="Times New Roman" w:cs="Times New Roman"/>
          <w:b/>
          <w:bCs/>
          <w:sz w:val="24"/>
          <w:szCs w:val="24"/>
        </w:rPr>
        <w:t>Career and Technical Education Revenue and Expenditures</w:t>
      </w:r>
      <w:r w:rsidRPr="007A6A92">
        <w:rPr>
          <w:rFonts w:ascii="Times New Roman" w:hAnsi="Times New Roman" w:cs="Times New Roman"/>
          <w:b/>
          <w:bCs/>
          <w:sz w:val="24"/>
          <w:szCs w:val="24"/>
        </w:rPr>
        <w:t xml:space="preserve"> – </w:t>
      </w:r>
      <w:r w:rsidRPr="007A6A92">
        <w:rPr>
          <w:rFonts w:ascii="Times New Roman" w:hAnsi="Times New Roman" w:cs="Times New Roman"/>
          <w:sz w:val="24"/>
          <w:szCs w:val="24"/>
        </w:rPr>
        <w:t>This study will analyze state, local, and federal revenue and expenditures for career and technical education in the commonwealth’s secondary schools. It will look, in particular, at differences in revenues for and expenditures by state-operated Area Technology Centers (ATC) versus locally operated Career and Technical Centers (CTC</w:t>
      </w:r>
      <w:proofErr w:type="gramStart"/>
      <w:r w:rsidRPr="007A6A92">
        <w:rPr>
          <w:rFonts w:ascii="Times New Roman" w:hAnsi="Times New Roman" w:cs="Times New Roman"/>
          <w:sz w:val="24"/>
          <w:szCs w:val="24"/>
        </w:rPr>
        <w:t>)s</w:t>
      </w:r>
      <w:proofErr w:type="gramEnd"/>
      <w:r w:rsidRPr="007A6A92">
        <w:rPr>
          <w:rFonts w:ascii="Times New Roman" w:hAnsi="Times New Roman" w:cs="Times New Roman"/>
          <w:sz w:val="24"/>
          <w:szCs w:val="24"/>
        </w:rPr>
        <w:t xml:space="preserve">. The study will also report student enrollment in </w:t>
      </w:r>
      <w:proofErr w:type="spellStart"/>
      <w:r w:rsidRPr="007A6A92">
        <w:rPr>
          <w:rFonts w:ascii="Times New Roman" w:hAnsi="Times New Roman" w:cs="Times New Roman"/>
          <w:sz w:val="24"/>
          <w:szCs w:val="24"/>
        </w:rPr>
        <w:t>ATCs</w:t>
      </w:r>
      <w:proofErr w:type="spellEnd"/>
      <w:r w:rsidRPr="007A6A92">
        <w:rPr>
          <w:rFonts w:ascii="Times New Roman" w:hAnsi="Times New Roman" w:cs="Times New Roman"/>
          <w:sz w:val="24"/>
          <w:szCs w:val="24"/>
        </w:rPr>
        <w:t xml:space="preserve"> and CTCs and estimate per-pupil revenues and expenditures for each.</w:t>
      </w:r>
    </w:p>
    <w:p w:rsidR="007A6A92" w:rsidRPr="007A6A92" w:rsidRDefault="007A6A92" w:rsidP="00686462">
      <w:pPr>
        <w:ind w:left="720"/>
        <w:jc w:val="both"/>
        <w:rPr>
          <w:rFonts w:cs="Times New Roman"/>
          <w:szCs w:val="24"/>
        </w:rPr>
      </w:pPr>
    </w:p>
    <w:p w:rsidR="00D87098" w:rsidRPr="007A6A92" w:rsidRDefault="00D87098" w:rsidP="007A6A92">
      <w:pPr>
        <w:ind w:left="720" w:firstLine="60"/>
        <w:jc w:val="both"/>
        <w:rPr>
          <w:rFonts w:cs="Times New Roman"/>
          <w:szCs w:val="24"/>
        </w:rPr>
      </w:pPr>
    </w:p>
    <w:p w:rsidR="00686462" w:rsidRPr="007A6A92" w:rsidRDefault="00D87098" w:rsidP="007A6A92">
      <w:pPr>
        <w:pStyle w:val="ListParagraph"/>
        <w:numPr>
          <w:ilvl w:val="0"/>
          <w:numId w:val="13"/>
        </w:numPr>
        <w:jc w:val="both"/>
        <w:rPr>
          <w:rFonts w:ascii="Times New Roman" w:hAnsi="Times New Roman" w:cs="Times New Roman"/>
          <w:sz w:val="24"/>
          <w:szCs w:val="24"/>
        </w:rPr>
      </w:pPr>
      <w:r w:rsidRPr="007A6A92">
        <w:rPr>
          <w:rFonts w:ascii="Times New Roman" w:hAnsi="Times New Roman" w:cs="Times New Roman"/>
          <w:b/>
          <w:bCs/>
          <w:sz w:val="24"/>
          <w:szCs w:val="24"/>
        </w:rPr>
        <w:t>Career and Technical Enrollment and Subsequent Employment by Sector</w:t>
      </w:r>
      <w:r w:rsidR="00686462" w:rsidRPr="007A6A92">
        <w:rPr>
          <w:rFonts w:ascii="Times New Roman" w:hAnsi="Times New Roman" w:cs="Times New Roman"/>
          <w:sz w:val="24"/>
          <w:szCs w:val="24"/>
        </w:rPr>
        <w:t xml:space="preserve"> – </w:t>
      </w:r>
      <w:r w:rsidRPr="007A6A92">
        <w:rPr>
          <w:rFonts w:ascii="Times New Roman" w:hAnsi="Times New Roman" w:cs="Times New Roman"/>
          <w:sz w:val="24"/>
          <w:szCs w:val="24"/>
        </w:rPr>
        <w:t>This study will report career and technical opportunities available to students in the commonwealth relative to indicators of workplace demand. Using data from the Kentucky Center for Statistics, the study will also analyze the relationships between career pathways completed and credentials earned by high school students in the commonwealth and sector-specific employment and wages, by employment sector, for up to two years following high school graduation. All data will be disaggregated by district, region, and student demographic characteristics.</w:t>
      </w:r>
    </w:p>
    <w:p w:rsidR="00686462" w:rsidRPr="007A6A92" w:rsidRDefault="00686462" w:rsidP="00686462">
      <w:pPr>
        <w:ind w:left="720"/>
        <w:jc w:val="both"/>
        <w:rPr>
          <w:rFonts w:cs="Times New Roman"/>
          <w:szCs w:val="24"/>
        </w:rPr>
      </w:pPr>
    </w:p>
    <w:p w:rsidR="007A6A92" w:rsidRPr="007A6A92" w:rsidRDefault="007A6A92" w:rsidP="00686462">
      <w:pPr>
        <w:ind w:left="720"/>
        <w:jc w:val="both"/>
        <w:rPr>
          <w:rFonts w:cs="Times New Roman"/>
          <w:szCs w:val="24"/>
        </w:rPr>
      </w:pPr>
    </w:p>
    <w:p w:rsidR="00686462" w:rsidRPr="007A6A92" w:rsidRDefault="00686462" w:rsidP="007A6A92">
      <w:pPr>
        <w:pStyle w:val="ListParagraph"/>
        <w:numPr>
          <w:ilvl w:val="0"/>
          <w:numId w:val="13"/>
        </w:numPr>
        <w:jc w:val="both"/>
        <w:rPr>
          <w:rFonts w:ascii="Times New Roman" w:hAnsi="Times New Roman" w:cs="Times New Roman"/>
          <w:sz w:val="24"/>
          <w:szCs w:val="24"/>
        </w:rPr>
      </w:pPr>
      <w:r w:rsidRPr="007A6A92">
        <w:rPr>
          <w:rFonts w:ascii="Times New Roman" w:hAnsi="Times New Roman" w:cs="Times New Roman"/>
          <w:b/>
          <w:bCs/>
          <w:sz w:val="24"/>
          <w:szCs w:val="24"/>
        </w:rPr>
        <w:t xml:space="preserve">Teacher shortages and supports for new teachers – </w:t>
      </w:r>
      <w:r w:rsidRPr="007A6A92">
        <w:rPr>
          <w:rFonts w:ascii="Times New Roman" w:hAnsi="Times New Roman" w:cs="Times New Roman"/>
          <w:sz w:val="24"/>
          <w:szCs w:val="24"/>
        </w:rPr>
        <w:t xml:space="preserve">This study will examine teacher retention and turnover rates in the commonwealth, including both academic subjects as well as </w:t>
      </w:r>
      <w:proofErr w:type="spellStart"/>
      <w:r w:rsidRPr="007A6A92">
        <w:rPr>
          <w:rFonts w:ascii="Times New Roman" w:hAnsi="Times New Roman" w:cs="Times New Roman"/>
          <w:sz w:val="24"/>
          <w:szCs w:val="24"/>
        </w:rPr>
        <w:t>CTE</w:t>
      </w:r>
      <w:proofErr w:type="spellEnd"/>
      <w:r w:rsidRPr="007A6A92">
        <w:rPr>
          <w:rFonts w:ascii="Times New Roman" w:hAnsi="Times New Roman" w:cs="Times New Roman"/>
          <w:sz w:val="24"/>
          <w:szCs w:val="24"/>
        </w:rPr>
        <w:t>. The study will examine teacher turnover rates by district, region, school demographics</w:t>
      </w:r>
      <w:r w:rsidRPr="007A6A92">
        <w:rPr>
          <w:rFonts w:ascii="Times New Roman" w:hAnsi="Times New Roman" w:cs="Times New Roman"/>
          <w:bCs/>
          <w:iCs/>
          <w:sz w:val="24"/>
          <w:szCs w:val="24"/>
        </w:rPr>
        <w:t>, and certification type (including emergency and alternative)</w:t>
      </w:r>
      <w:r w:rsidRPr="007A6A92">
        <w:rPr>
          <w:rFonts w:ascii="Times New Roman" w:hAnsi="Times New Roman" w:cs="Times New Roman"/>
          <w:sz w:val="24"/>
          <w:szCs w:val="24"/>
        </w:rPr>
        <w:t xml:space="preserve">. </w:t>
      </w:r>
      <w:r w:rsidRPr="007A6A92">
        <w:rPr>
          <w:rFonts w:ascii="Times New Roman" w:hAnsi="Times New Roman" w:cs="Times New Roman"/>
          <w:bCs/>
          <w:iCs/>
          <w:sz w:val="24"/>
          <w:szCs w:val="24"/>
        </w:rPr>
        <w:t>Analysis will include the number of teachers serving with emergency and alternative certificates, the number of years they serve using those certificates, and the subject areas and levels in which they teach.</w:t>
      </w:r>
      <w:r w:rsidRPr="007A6A92">
        <w:rPr>
          <w:rFonts w:ascii="Times New Roman" w:hAnsi="Times New Roman" w:cs="Times New Roman"/>
          <w:sz w:val="24"/>
          <w:szCs w:val="24"/>
        </w:rPr>
        <w:t xml:space="preserve"> The study will also examine the association between teacher turnover and student outcomes.  </w:t>
      </w:r>
    </w:p>
    <w:p w:rsidR="00B85478" w:rsidRPr="007A6A92" w:rsidRDefault="00B85478" w:rsidP="00686462">
      <w:pPr>
        <w:ind w:left="720"/>
        <w:rPr>
          <w:rFonts w:cs="Times New Roman"/>
          <w:szCs w:val="24"/>
        </w:rPr>
      </w:pPr>
      <w:r w:rsidRPr="007A6A92">
        <w:rPr>
          <w:rFonts w:cs="Times New Roman"/>
          <w:szCs w:val="24"/>
        </w:rPr>
        <w:t xml:space="preserve"> </w:t>
      </w:r>
    </w:p>
    <w:p w:rsidR="00B85478" w:rsidRPr="007A6A92" w:rsidRDefault="00B85478" w:rsidP="00B85478">
      <w:pPr>
        <w:rPr>
          <w:rFonts w:cs="Times New Roman"/>
          <w:szCs w:val="24"/>
        </w:rPr>
      </w:pPr>
    </w:p>
    <w:p w:rsidR="00B85478" w:rsidRPr="00BA4C95" w:rsidRDefault="00B85478" w:rsidP="00B85478">
      <w:pPr>
        <w:rPr>
          <w:rFonts w:cs="Times New Roman"/>
          <w:sz w:val="23"/>
          <w:szCs w:val="23"/>
        </w:rPr>
      </w:pPr>
    </w:p>
    <w:p w:rsidR="00000363" w:rsidRDefault="00000363" w:rsidP="008D5CD9">
      <w:pPr>
        <w:rPr>
          <w:rFonts w:cs="Times New Roman"/>
          <w:szCs w:val="24"/>
        </w:rPr>
      </w:pPr>
    </w:p>
    <w:sectPr w:rsidR="00000363" w:rsidSect="00DE264A">
      <w:type w:val="continuous"/>
      <w:pgSz w:w="12240" w:h="15840" w:code="1"/>
      <w:pgMar w:top="1440" w:right="1440" w:bottom="144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4B" w:rsidRDefault="0075294B" w:rsidP="0075294B">
      <w:r>
        <w:separator/>
      </w:r>
    </w:p>
  </w:endnote>
  <w:endnote w:type="continuationSeparator" w:id="0">
    <w:p w:rsidR="0075294B" w:rsidRDefault="0075294B" w:rsidP="007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B" w:rsidRDefault="00752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B" w:rsidRDefault="00752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B" w:rsidRDefault="00752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4B" w:rsidRDefault="0075294B" w:rsidP="0075294B">
      <w:r>
        <w:separator/>
      </w:r>
    </w:p>
  </w:footnote>
  <w:footnote w:type="continuationSeparator" w:id="0">
    <w:p w:rsidR="0075294B" w:rsidRDefault="0075294B" w:rsidP="0075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B" w:rsidRDefault="00752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23670"/>
      <w:docPartObj>
        <w:docPartGallery w:val="Watermarks"/>
        <w:docPartUnique/>
      </w:docPartObj>
    </w:sdtPr>
    <w:sdtContent>
      <w:p w:rsidR="0075294B" w:rsidRDefault="00752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4B" w:rsidRDefault="00752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7EDD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5ED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347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904F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295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E5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50F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C3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C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04C7C"/>
    <w:multiLevelType w:val="hybridMultilevel"/>
    <w:tmpl w:val="CD3E7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F17B1C"/>
    <w:multiLevelType w:val="hybridMultilevel"/>
    <w:tmpl w:val="850E1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78"/>
    <w:rsid w:val="00000363"/>
    <w:rsid w:val="00003218"/>
    <w:rsid w:val="0001471C"/>
    <w:rsid w:val="00045783"/>
    <w:rsid w:val="00070E7E"/>
    <w:rsid w:val="000716CA"/>
    <w:rsid w:val="000C1E3A"/>
    <w:rsid w:val="00110F61"/>
    <w:rsid w:val="00114385"/>
    <w:rsid w:val="001254BF"/>
    <w:rsid w:val="00154CAA"/>
    <w:rsid w:val="0015509E"/>
    <w:rsid w:val="00162AF7"/>
    <w:rsid w:val="00176750"/>
    <w:rsid w:val="001927C5"/>
    <w:rsid w:val="0019417B"/>
    <w:rsid w:val="001E46B3"/>
    <w:rsid w:val="001F2929"/>
    <w:rsid w:val="001F4BBE"/>
    <w:rsid w:val="0021294F"/>
    <w:rsid w:val="00216DBC"/>
    <w:rsid w:val="00225BE0"/>
    <w:rsid w:val="00233F93"/>
    <w:rsid w:val="00244252"/>
    <w:rsid w:val="00250BC2"/>
    <w:rsid w:val="0029063B"/>
    <w:rsid w:val="002B0000"/>
    <w:rsid w:val="002B3EF1"/>
    <w:rsid w:val="002E088B"/>
    <w:rsid w:val="00313792"/>
    <w:rsid w:val="00315A31"/>
    <w:rsid w:val="003168DC"/>
    <w:rsid w:val="00333CF1"/>
    <w:rsid w:val="003369DA"/>
    <w:rsid w:val="00365E3C"/>
    <w:rsid w:val="003B1AC4"/>
    <w:rsid w:val="003B5195"/>
    <w:rsid w:val="003D0788"/>
    <w:rsid w:val="003D5391"/>
    <w:rsid w:val="003D621F"/>
    <w:rsid w:val="003D7F32"/>
    <w:rsid w:val="003E75AF"/>
    <w:rsid w:val="003F5054"/>
    <w:rsid w:val="00416CC6"/>
    <w:rsid w:val="004209DF"/>
    <w:rsid w:val="00430045"/>
    <w:rsid w:val="004430E4"/>
    <w:rsid w:val="00446F17"/>
    <w:rsid w:val="00450393"/>
    <w:rsid w:val="00451AEE"/>
    <w:rsid w:val="00486613"/>
    <w:rsid w:val="00490689"/>
    <w:rsid w:val="00517AA3"/>
    <w:rsid w:val="00524CB6"/>
    <w:rsid w:val="00536A4D"/>
    <w:rsid w:val="0054094F"/>
    <w:rsid w:val="0057635E"/>
    <w:rsid w:val="005845D9"/>
    <w:rsid w:val="00595687"/>
    <w:rsid w:val="005A696E"/>
    <w:rsid w:val="005B627B"/>
    <w:rsid w:val="005C3982"/>
    <w:rsid w:val="005D5887"/>
    <w:rsid w:val="005E5DB4"/>
    <w:rsid w:val="005E6DB8"/>
    <w:rsid w:val="00606C17"/>
    <w:rsid w:val="00643F8C"/>
    <w:rsid w:val="006463BF"/>
    <w:rsid w:val="006614F2"/>
    <w:rsid w:val="00686462"/>
    <w:rsid w:val="00690703"/>
    <w:rsid w:val="006A5A73"/>
    <w:rsid w:val="006B2388"/>
    <w:rsid w:val="006B352A"/>
    <w:rsid w:val="006E5A31"/>
    <w:rsid w:val="00701D77"/>
    <w:rsid w:val="007072BD"/>
    <w:rsid w:val="00744AAF"/>
    <w:rsid w:val="0075294B"/>
    <w:rsid w:val="00753028"/>
    <w:rsid w:val="00767C04"/>
    <w:rsid w:val="00780DEA"/>
    <w:rsid w:val="0078715E"/>
    <w:rsid w:val="00795248"/>
    <w:rsid w:val="007A6A92"/>
    <w:rsid w:val="007E23E2"/>
    <w:rsid w:val="00801281"/>
    <w:rsid w:val="0081666C"/>
    <w:rsid w:val="00825345"/>
    <w:rsid w:val="00833E3A"/>
    <w:rsid w:val="0086526A"/>
    <w:rsid w:val="008676F0"/>
    <w:rsid w:val="00885296"/>
    <w:rsid w:val="008969F7"/>
    <w:rsid w:val="008A092A"/>
    <w:rsid w:val="008A28B6"/>
    <w:rsid w:val="008B008B"/>
    <w:rsid w:val="008D5CD9"/>
    <w:rsid w:val="009564EB"/>
    <w:rsid w:val="00963E76"/>
    <w:rsid w:val="0097084D"/>
    <w:rsid w:val="009A408A"/>
    <w:rsid w:val="009A66E8"/>
    <w:rsid w:val="009D74BA"/>
    <w:rsid w:val="00A03B1C"/>
    <w:rsid w:val="00A118B5"/>
    <w:rsid w:val="00A12D91"/>
    <w:rsid w:val="00A20B69"/>
    <w:rsid w:val="00A37FB5"/>
    <w:rsid w:val="00A42E36"/>
    <w:rsid w:val="00A658A0"/>
    <w:rsid w:val="00A722E1"/>
    <w:rsid w:val="00A76C51"/>
    <w:rsid w:val="00AA04C6"/>
    <w:rsid w:val="00AA508C"/>
    <w:rsid w:val="00AA6AAC"/>
    <w:rsid w:val="00AB771D"/>
    <w:rsid w:val="00AE7692"/>
    <w:rsid w:val="00AF43C8"/>
    <w:rsid w:val="00B14EFF"/>
    <w:rsid w:val="00B168B6"/>
    <w:rsid w:val="00B30A99"/>
    <w:rsid w:val="00B51200"/>
    <w:rsid w:val="00B63D96"/>
    <w:rsid w:val="00B75B7E"/>
    <w:rsid w:val="00B850D1"/>
    <w:rsid w:val="00B85478"/>
    <w:rsid w:val="00B96C8E"/>
    <w:rsid w:val="00BA23EC"/>
    <w:rsid w:val="00BD1381"/>
    <w:rsid w:val="00BF7D4D"/>
    <w:rsid w:val="00C03D96"/>
    <w:rsid w:val="00C13BD2"/>
    <w:rsid w:val="00C273AE"/>
    <w:rsid w:val="00C368E8"/>
    <w:rsid w:val="00C37717"/>
    <w:rsid w:val="00C45937"/>
    <w:rsid w:val="00C55980"/>
    <w:rsid w:val="00C716C4"/>
    <w:rsid w:val="00CF5C85"/>
    <w:rsid w:val="00CF66B2"/>
    <w:rsid w:val="00CF7D6B"/>
    <w:rsid w:val="00D21C20"/>
    <w:rsid w:val="00D24C2B"/>
    <w:rsid w:val="00D371C4"/>
    <w:rsid w:val="00D40E2F"/>
    <w:rsid w:val="00D4105E"/>
    <w:rsid w:val="00D42E15"/>
    <w:rsid w:val="00D462DE"/>
    <w:rsid w:val="00D57F1E"/>
    <w:rsid w:val="00D62E4E"/>
    <w:rsid w:val="00D70AAB"/>
    <w:rsid w:val="00D74480"/>
    <w:rsid w:val="00D87098"/>
    <w:rsid w:val="00DB68C2"/>
    <w:rsid w:val="00DD2D04"/>
    <w:rsid w:val="00DD7A9D"/>
    <w:rsid w:val="00DE264A"/>
    <w:rsid w:val="00DE2EBA"/>
    <w:rsid w:val="00DE5E35"/>
    <w:rsid w:val="00E16B2F"/>
    <w:rsid w:val="00E17E06"/>
    <w:rsid w:val="00E62A62"/>
    <w:rsid w:val="00E720AD"/>
    <w:rsid w:val="00E84E24"/>
    <w:rsid w:val="00E96B4B"/>
    <w:rsid w:val="00EC4521"/>
    <w:rsid w:val="00ED24FB"/>
    <w:rsid w:val="00ED6DEC"/>
    <w:rsid w:val="00ED7618"/>
    <w:rsid w:val="00F1475D"/>
    <w:rsid w:val="00F311C1"/>
    <w:rsid w:val="00F3452A"/>
    <w:rsid w:val="00F45DEA"/>
    <w:rsid w:val="00F533C6"/>
    <w:rsid w:val="00F553B6"/>
    <w:rsid w:val="00F63F3F"/>
    <w:rsid w:val="00F72700"/>
    <w:rsid w:val="00FB7532"/>
    <w:rsid w:val="00FD4068"/>
    <w:rsid w:val="00FE1B71"/>
    <w:rsid w:val="00FE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F33D4E8-C6BE-406A-AEDC-236BC5BA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9D"/>
    <w:pPr>
      <w:jc w:val="left"/>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qFormat/>
    <w:rsid w:val="00F63F3F"/>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A118B5"/>
    <w:rPr>
      <w:rFonts w:ascii="Tahoma" w:hAnsi="Tahoma" w:cs="Tahoma"/>
      <w:sz w:val="16"/>
      <w:szCs w:val="16"/>
    </w:rPr>
  </w:style>
  <w:style w:type="character" w:customStyle="1" w:styleId="BalloonTextChar">
    <w:name w:val="Balloon Text Char"/>
    <w:basedOn w:val="DefaultParagraphFont"/>
    <w:link w:val="BalloonText"/>
    <w:uiPriority w:val="99"/>
    <w:semiHidden/>
    <w:rsid w:val="00A118B5"/>
    <w:rPr>
      <w:rFonts w:ascii="Tahoma" w:hAnsi="Tahoma" w:cs="Tahoma"/>
      <w:sz w:val="16"/>
      <w:szCs w:val="16"/>
    </w:rPr>
  </w:style>
  <w:style w:type="paragraph" w:customStyle="1" w:styleId="Default">
    <w:name w:val="Default"/>
    <w:rsid w:val="00B85478"/>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B85478"/>
    <w:pPr>
      <w:ind w:left="720"/>
      <w:contextualSpacing/>
    </w:pPr>
    <w:rPr>
      <w:rFonts w:asciiTheme="minorHAnsi" w:hAnsiTheme="minorHAnsi"/>
      <w:sz w:val="22"/>
    </w:rPr>
  </w:style>
  <w:style w:type="paragraph" w:styleId="Header">
    <w:name w:val="header"/>
    <w:basedOn w:val="Normal"/>
    <w:link w:val="HeaderChar"/>
    <w:uiPriority w:val="99"/>
    <w:unhideWhenUsed/>
    <w:rsid w:val="0075294B"/>
    <w:pPr>
      <w:tabs>
        <w:tab w:val="center" w:pos="4680"/>
        <w:tab w:val="right" w:pos="9360"/>
      </w:tabs>
    </w:pPr>
  </w:style>
  <w:style w:type="character" w:customStyle="1" w:styleId="HeaderChar">
    <w:name w:val="Header Char"/>
    <w:basedOn w:val="DefaultParagraphFont"/>
    <w:link w:val="Header"/>
    <w:uiPriority w:val="99"/>
    <w:rsid w:val="0075294B"/>
    <w:rPr>
      <w:rFonts w:ascii="Times New Roman" w:hAnsi="Times New Roman"/>
      <w:sz w:val="24"/>
    </w:rPr>
  </w:style>
  <w:style w:type="paragraph" w:styleId="Footer">
    <w:name w:val="footer"/>
    <w:basedOn w:val="Normal"/>
    <w:link w:val="FooterChar"/>
    <w:uiPriority w:val="99"/>
    <w:unhideWhenUsed/>
    <w:rsid w:val="0075294B"/>
    <w:pPr>
      <w:tabs>
        <w:tab w:val="center" w:pos="4680"/>
        <w:tab w:val="right" w:pos="9360"/>
      </w:tabs>
    </w:pPr>
  </w:style>
  <w:style w:type="character" w:customStyle="1" w:styleId="FooterChar">
    <w:name w:val="Footer Char"/>
    <w:basedOn w:val="DefaultParagraphFont"/>
    <w:link w:val="Footer"/>
    <w:uiPriority w:val="99"/>
    <w:rsid w:val="007529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112">
      <w:bodyDiv w:val="1"/>
      <w:marLeft w:val="0"/>
      <w:marRight w:val="0"/>
      <w:marTop w:val="0"/>
      <w:marBottom w:val="0"/>
      <w:divBdr>
        <w:top w:val="none" w:sz="0" w:space="0" w:color="auto"/>
        <w:left w:val="none" w:sz="0" w:space="0" w:color="auto"/>
        <w:bottom w:val="none" w:sz="0" w:space="0" w:color="auto"/>
        <w:right w:val="none" w:sz="0" w:space="0" w:color="auto"/>
      </w:divBdr>
    </w:div>
    <w:div w:id="110318377">
      <w:bodyDiv w:val="1"/>
      <w:marLeft w:val="0"/>
      <w:marRight w:val="0"/>
      <w:marTop w:val="0"/>
      <w:marBottom w:val="0"/>
      <w:divBdr>
        <w:top w:val="none" w:sz="0" w:space="0" w:color="auto"/>
        <w:left w:val="none" w:sz="0" w:space="0" w:color="auto"/>
        <w:bottom w:val="none" w:sz="0" w:space="0" w:color="auto"/>
        <w:right w:val="none" w:sz="0" w:space="0" w:color="auto"/>
      </w:divBdr>
    </w:div>
    <w:div w:id="227300388">
      <w:bodyDiv w:val="1"/>
      <w:marLeft w:val="0"/>
      <w:marRight w:val="0"/>
      <w:marTop w:val="0"/>
      <w:marBottom w:val="0"/>
      <w:divBdr>
        <w:top w:val="none" w:sz="0" w:space="0" w:color="auto"/>
        <w:left w:val="none" w:sz="0" w:space="0" w:color="auto"/>
        <w:bottom w:val="none" w:sz="0" w:space="0" w:color="auto"/>
        <w:right w:val="none" w:sz="0" w:space="0" w:color="auto"/>
      </w:divBdr>
    </w:div>
    <w:div w:id="378942351">
      <w:bodyDiv w:val="1"/>
      <w:marLeft w:val="0"/>
      <w:marRight w:val="0"/>
      <w:marTop w:val="0"/>
      <w:marBottom w:val="0"/>
      <w:divBdr>
        <w:top w:val="none" w:sz="0" w:space="0" w:color="auto"/>
        <w:left w:val="none" w:sz="0" w:space="0" w:color="auto"/>
        <w:bottom w:val="none" w:sz="0" w:space="0" w:color="auto"/>
        <w:right w:val="none" w:sz="0" w:space="0" w:color="auto"/>
      </w:divBdr>
    </w:div>
    <w:div w:id="476999167">
      <w:bodyDiv w:val="1"/>
      <w:marLeft w:val="0"/>
      <w:marRight w:val="0"/>
      <w:marTop w:val="0"/>
      <w:marBottom w:val="0"/>
      <w:divBdr>
        <w:top w:val="none" w:sz="0" w:space="0" w:color="auto"/>
        <w:left w:val="none" w:sz="0" w:space="0" w:color="auto"/>
        <w:bottom w:val="none" w:sz="0" w:space="0" w:color="auto"/>
        <w:right w:val="none" w:sz="0" w:space="0" w:color="auto"/>
      </w:divBdr>
    </w:div>
    <w:div w:id="563953492">
      <w:bodyDiv w:val="1"/>
      <w:marLeft w:val="0"/>
      <w:marRight w:val="0"/>
      <w:marTop w:val="0"/>
      <w:marBottom w:val="0"/>
      <w:divBdr>
        <w:top w:val="none" w:sz="0" w:space="0" w:color="auto"/>
        <w:left w:val="none" w:sz="0" w:space="0" w:color="auto"/>
        <w:bottom w:val="none" w:sz="0" w:space="0" w:color="auto"/>
        <w:right w:val="none" w:sz="0" w:space="0" w:color="auto"/>
      </w:divBdr>
    </w:div>
    <w:div w:id="1021856343">
      <w:bodyDiv w:val="1"/>
      <w:marLeft w:val="0"/>
      <w:marRight w:val="0"/>
      <w:marTop w:val="0"/>
      <w:marBottom w:val="0"/>
      <w:divBdr>
        <w:top w:val="none" w:sz="0" w:space="0" w:color="auto"/>
        <w:left w:val="none" w:sz="0" w:space="0" w:color="auto"/>
        <w:bottom w:val="none" w:sz="0" w:space="0" w:color="auto"/>
        <w:right w:val="none" w:sz="0" w:space="0" w:color="auto"/>
      </w:divBdr>
    </w:div>
    <w:div w:id="1098481614">
      <w:bodyDiv w:val="1"/>
      <w:marLeft w:val="0"/>
      <w:marRight w:val="0"/>
      <w:marTop w:val="0"/>
      <w:marBottom w:val="0"/>
      <w:divBdr>
        <w:top w:val="none" w:sz="0" w:space="0" w:color="auto"/>
        <w:left w:val="none" w:sz="0" w:space="0" w:color="auto"/>
        <w:bottom w:val="none" w:sz="0" w:space="0" w:color="auto"/>
        <w:right w:val="none" w:sz="0" w:space="0" w:color="auto"/>
      </w:divBdr>
    </w:div>
    <w:div w:id="1198662215">
      <w:bodyDiv w:val="1"/>
      <w:marLeft w:val="0"/>
      <w:marRight w:val="0"/>
      <w:marTop w:val="0"/>
      <w:marBottom w:val="0"/>
      <w:divBdr>
        <w:top w:val="none" w:sz="0" w:space="0" w:color="auto"/>
        <w:left w:val="none" w:sz="0" w:space="0" w:color="auto"/>
        <w:bottom w:val="none" w:sz="0" w:space="0" w:color="auto"/>
        <w:right w:val="none" w:sz="0" w:space="0" w:color="auto"/>
      </w:divBdr>
    </w:div>
    <w:div w:id="1213615842">
      <w:bodyDiv w:val="1"/>
      <w:marLeft w:val="0"/>
      <w:marRight w:val="0"/>
      <w:marTop w:val="0"/>
      <w:marBottom w:val="0"/>
      <w:divBdr>
        <w:top w:val="none" w:sz="0" w:space="0" w:color="auto"/>
        <w:left w:val="none" w:sz="0" w:space="0" w:color="auto"/>
        <w:bottom w:val="none" w:sz="0" w:space="0" w:color="auto"/>
        <w:right w:val="none" w:sz="0" w:space="0" w:color="auto"/>
      </w:divBdr>
    </w:div>
    <w:div w:id="1294410711">
      <w:bodyDiv w:val="1"/>
      <w:marLeft w:val="0"/>
      <w:marRight w:val="0"/>
      <w:marTop w:val="0"/>
      <w:marBottom w:val="0"/>
      <w:divBdr>
        <w:top w:val="none" w:sz="0" w:space="0" w:color="auto"/>
        <w:left w:val="none" w:sz="0" w:space="0" w:color="auto"/>
        <w:bottom w:val="none" w:sz="0" w:space="0" w:color="auto"/>
        <w:right w:val="none" w:sz="0" w:space="0" w:color="auto"/>
      </w:divBdr>
    </w:div>
    <w:div w:id="1427968750">
      <w:bodyDiv w:val="1"/>
      <w:marLeft w:val="0"/>
      <w:marRight w:val="0"/>
      <w:marTop w:val="0"/>
      <w:marBottom w:val="0"/>
      <w:divBdr>
        <w:top w:val="none" w:sz="0" w:space="0" w:color="auto"/>
        <w:left w:val="none" w:sz="0" w:space="0" w:color="auto"/>
        <w:bottom w:val="none" w:sz="0" w:space="0" w:color="auto"/>
        <w:right w:val="none" w:sz="0" w:space="0" w:color="auto"/>
      </w:divBdr>
    </w:div>
    <w:div w:id="17470745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LET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872B0-5BB1-45DB-8C43-25C6A7F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LETRHEAD.dotm</Template>
  <TotalTime>8</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collins_j</dc:creator>
  <cp:keywords/>
  <dc:description/>
  <cp:lastModifiedBy>Collins, Joshua (LRC)</cp:lastModifiedBy>
  <cp:revision>1</cp:revision>
  <cp:lastPrinted>2017-01-04T16:47:00Z</cp:lastPrinted>
  <dcterms:created xsi:type="dcterms:W3CDTF">2018-11-15T15:18:00Z</dcterms:created>
  <dcterms:modified xsi:type="dcterms:W3CDTF">2018-11-15T15:26:00Z</dcterms:modified>
</cp:coreProperties>
</file>