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05AC4" w14:textId="44E179D3" w:rsidR="00CC7E8F" w:rsidRPr="00E248D7" w:rsidRDefault="00CC7E8F" w:rsidP="00136BDF">
      <w:pPr>
        <w:jc w:val="center"/>
        <w:rPr>
          <w:rFonts w:eastAsia="Arial"/>
          <w:b/>
          <w:sz w:val="28"/>
          <w:szCs w:val="28"/>
          <w:highlight w:val="white"/>
        </w:rPr>
      </w:pPr>
      <w:bookmarkStart w:id="0" w:name="_GoBack"/>
      <w:bookmarkEnd w:id="0"/>
      <w:r w:rsidRPr="00E248D7">
        <w:rPr>
          <w:rFonts w:eastAsia="Arial"/>
          <w:b/>
          <w:sz w:val="28"/>
          <w:szCs w:val="28"/>
          <w:highlight w:val="white"/>
        </w:rPr>
        <w:t xml:space="preserve">Testimony of Bill Londrigan in Opposition to </w:t>
      </w:r>
      <w:r w:rsidR="00136BDF" w:rsidRPr="00E248D7">
        <w:rPr>
          <w:rFonts w:eastAsia="Arial"/>
          <w:b/>
          <w:sz w:val="28"/>
          <w:szCs w:val="28"/>
          <w:highlight w:val="white"/>
        </w:rPr>
        <w:t>HB 475</w:t>
      </w:r>
    </w:p>
    <w:p w14:paraId="4566F8F3" w14:textId="77777777" w:rsidR="00CC7E8F" w:rsidRPr="00E248D7" w:rsidRDefault="00CC7E8F" w:rsidP="00136BDF">
      <w:pPr>
        <w:jc w:val="center"/>
        <w:rPr>
          <w:rFonts w:eastAsia="Arial"/>
          <w:b/>
          <w:sz w:val="28"/>
          <w:szCs w:val="28"/>
          <w:highlight w:val="white"/>
        </w:rPr>
      </w:pPr>
      <w:r w:rsidRPr="00E248D7">
        <w:rPr>
          <w:rFonts w:eastAsia="Arial"/>
          <w:b/>
          <w:sz w:val="28"/>
          <w:szCs w:val="28"/>
          <w:highlight w:val="white"/>
        </w:rPr>
        <w:t>Senate Standing Committee on Economic Development,</w:t>
      </w:r>
    </w:p>
    <w:p w14:paraId="5647E149" w14:textId="70B720F0" w:rsidR="00CC7E8F" w:rsidRPr="00E248D7" w:rsidRDefault="00CC7E8F" w:rsidP="00136BDF">
      <w:pPr>
        <w:jc w:val="center"/>
        <w:rPr>
          <w:rFonts w:eastAsia="Arial"/>
          <w:b/>
          <w:sz w:val="28"/>
          <w:szCs w:val="28"/>
          <w:highlight w:val="white"/>
        </w:rPr>
      </w:pPr>
      <w:r w:rsidRPr="00E248D7">
        <w:rPr>
          <w:rFonts w:eastAsia="Arial"/>
          <w:b/>
          <w:sz w:val="28"/>
          <w:szCs w:val="28"/>
          <w:highlight w:val="white"/>
        </w:rPr>
        <w:t>Tourism and Labor</w:t>
      </w:r>
      <w:r w:rsidR="00136BDF" w:rsidRPr="00E248D7">
        <w:rPr>
          <w:rFonts w:eastAsia="Arial"/>
          <w:b/>
          <w:sz w:val="28"/>
          <w:szCs w:val="28"/>
          <w:highlight w:val="white"/>
        </w:rPr>
        <w:t xml:space="preserve"> </w:t>
      </w:r>
      <w:r w:rsidR="00C06F31" w:rsidRPr="00E248D7">
        <w:rPr>
          <w:rFonts w:eastAsia="Arial"/>
          <w:b/>
          <w:sz w:val="28"/>
          <w:szCs w:val="28"/>
          <w:highlight w:val="white"/>
        </w:rPr>
        <w:t xml:space="preserve">- </w:t>
      </w:r>
      <w:r w:rsidRPr="00E248D7">
        <w:rPr>
          <w:rFonts w:eastAsia="Arial"/>
          <w:b/>
          <w:sz w:val="28"/>
          <w:szCs w:val="28"/>
          <w:highlight w:val="white"/>
        </w:rPr>
        <w:t>March 15, 2021</w:t>
      </w:r>
    </w:p>
    <w:p w14:paraId="15DB278D" w14:textId="77777777" w:rsidR="00136BDF" w:rsidRDefault="00136BDF" w:rsidP="00136BDF">
      <w:pPr>
        <w:rPr>
          <w:rFonts w:eastAsia="Arial"/>
          <w:b/>
          <w:szCs w:val="24"/>
          <w:highlight w:val="white"/>
        </w:rPr>
      </w:pPr>
    </w:p>
    <w:p w14:paraId="5F22FD25" w14:textId="190B780F" w:rsidR="00136BDF" w:rsidRPr="00A96E0A" w:rsidRDefault="00136BDF" w:rsidP="00136BDF">
      <w:pPr>
        <w:spacing w:after="240" w:line="276" w:lineRule="auto"/>
        <w:rPr>
          <w:rFonts w:eastAsia="Arial"/>
          <w:szCs w:val="24"/>
          <w:highlight w:val="white"/>
        </w:rPr>
      </w:pPr>
      <w:r w:rsidRPr="00A96E0A">
        <w:rPr>
          <w:rFonts w:eastAsia="Arial"/>
          <w:szCs w:val="24"/>
          <w:highlight w:val="white"/>
        </w:rPr>
        <w:t xml:space="preserve">Since 1972, the Kentucky Labor Cabinet’s Department of Workplace Standards has carried out OSH policy through the Kentucky OSH program.  That nearly 50-year-old program promotes the safety, health, and general welfare of Kentucky’s </w:t>
      </w:r>
      <w:r w:rsidRPr="00B37B75">
        <w:rPr>
          <w:rFonts w:eastAsia="Arial"/>
          <w:szCs w:val="24"/>
          <w:highlight w:val="white"/>
        </w:rPr>
        <w:t>1,700,000+ public and private sector workers.</w:t>
      </w:r>
      <w:r w:rsidRPr="00A96E0A">
        <w:rPr>
          <w:rFonts w:eastAsia="Arial"/>
          <w:szCs w:val="24"/>
          <w:highlight w:val="white"/>
        </w:rPr>
        <w:t xml:space="preserve"> </w:t>
      </w:r>
      <w:r w:rsidRPr="00A96E0A">
        <w:rPr>
          <w:rFonts w:eastAsia="Arial"/>
          <w:i/>
          <w:szCs w:val="24"/>
          <w:highlight w:val="white"/>
        </w:rPr>
        <w:t xml:space="preserve">See </w:t>
      </w:r>
      <w:r w:rsidRPr="00A96E0A">
        <w:rPr>
          <w:rFonts w:eastAsia="Arial"/>
          <w:szCs w:val="24"/>
          <w:highlight w:val="white"/>
        </w:rPr>
        <w:t>KRS 338 .041(1).</w:t>
      </w:r>
    </w:p>
    <w:p w14:paraId="5C566428" w14:textId="169E9D94" w:rsidR="00136BDF" w:rsidRPr="00B37B75" w:rsidRDefault="00CC7E8F" w:rsidP="00136BDF">
      <w:pPr>
        <w:spacing w:after="240" w:line="276" w:lineRule="auto"/>
        <w:rPr>
          <w:rFonts w:eastAsia="Arial"/>
          <w:szCs w:val="24"/>
        </w:rPr>
      </w:pPr>
      <w:r>
        <w:rPr>
          <w:rFonts w:eastAsia="Arial"/>
          <w:szCs w:val="24"/>
          <w:highlight w:val="white"/>
          <w:lang w:val="en"/>
        </w:rPr>
        <w:t xml:space="preserve">HB 475 </w:t>
      </w:r>
      <w:r w:rsidRPr="00B37B75">
        <w:rPr>
          <w:rFonts w:eastAsia="Arial"/>
          <w:szCs w:val="24"/>
          <w:highlight w:val="white"/>
          <w:lang w:val="en"/>
        </w:rPr>
        <w:t>p</w:t>
      </w:r>
      <w:r w:rsidR="00136BDF" w:rsidRPr="00B37B75">
        <w:rPr>
          <w:rFonts w:eastAsia="Arial"/>
          <w:szCs w:val="24"/>
          <w:highlight w:val="white"/>
          <w:lang w:val="en"/>
        </w:rPr>
        <w:t xml:space="preserve">rohibits the Secretary </w:t>
      </w:r>
      <w:r w:rsidRPr="00B37B75">
        <w:rPr>
          <w:rFonts w:eastAsia="Arial"/>
          <w:szCs w:val="24"/>
          <w:highlight w:val="white"/>
          <w:lang w:val="en"/>
        </w:rPr>
        <w:t xml:space="preserve">of Labor </w:t>
      </w:r>
      <w:r w:rsidR="00136BDF" w:rsidRPr="00B37B75">
        <w:rPr>
          <w:rFonts w:eastAsia="Arial"/>
          <w:szCs w:val="24"/>
          <w:highlight w:val="white"/>
          <w:lang w:val="en"/>
        </w:rPr>
        <w:t xml:space="preserve">and </w:t>
      </w:r>
      <w:r w:rsidR="00136BDF" w:rsidRPr="00B37B75">
        <w:rPr>
          <w:rFonts w:eastAsia="Arial"/>
          <w:szCs w:val="24"/>
          <w:lang w:val="en"/>
        </w:rPr>
        <w:t>the Kentucky Occupational Safety and Health Review Commission from enforcing “</w:t>
      </w:r>
      <w:r w:rsidR="00136BDF" w:rsidRPr="00B37B75">
        <w:rPr>
          <w:rFonts w:eastAsia="Arial"/>
          <w:szCs w:val="24"/>
        </w:rPr>
        <w:t xml:space="preserve">any occupational safety and health administrative regulation </w:t>
      </w:r>
      <w:r w:rsidR="00136BDF" w:rsidRPr="00B37B75">
        <w:rPr>
          <w:rFonts w:eastAsia="Arial"/>
          <w:i/>
          <w:iCs/>
          <w:szCs w:val="24"/>
          <w:u w:val="single"/>
        </w:rPr>
        <w:t>that is more stringent</w:t>
      </w:r>
      <w:r w:rsidR="00136BDF" w:rsidRPr="00B37B75">
        <w:rPr>
          <w:rFonts w:eastAsia="Arial"/>
          <w:szCs w:val="24"/>
        </w:rPr>
        <w:t xml:space="preserve"> than the corresponding federal provision.” </w:t>
      </w:r>
    </w:p>
    <w:p w14:paraId="794D4C10" w14:textId="0132140A" w:rsidR="00136BDF" w:rsidRDefault="00136BDF" w:rsidP="00136BDF">
      <w:pPr>
        <w:spacing w:after="240" w:line="276" w:lineRule="auto"/>
        <w:rPr>
          <w:rFonts w:eastAsia="Arial"/>
          <w:szCs w:val="24"/>
        </w:rPr>
      </w:pPr>
      <w:r w:rsidRPr="00A96E0A">
        <w:rPr>
          <w:rFonts w:eastAsia="Arial"/>
          <w:b/>
          <w:bCs/>
          <w:szCs w:val="24"/>
        </w:rPr>
        <w:t>HB 475 is a solution in search of a problem</w:t>
      </w:r>
      <w:r w:rsidR="00CC7E8F">
        <w:rPr>
          <w:rFonts w:eastAsia="Arial"/>
          <w:b/>
          <w:bCs/>
          <w:szCs w:val="24"/>
        </w:rPr>
        <w:t xml:space="preserve"> since</w:t>
      </w:r>
      <w:r w:rsidRPr="00A96E0A">
        <w:rPr>
          <w:rFonts w:eastAsia="Arial"/>
          <w:b/>
          <w:bCs/>
          <w:szCs w:val="24"/>
        </w:rPr>
        <w:t xml:space="preserve"> 97.2% of Kentucky’s OSH regulations are already identical to Federal OSH standards.</w:t>
      </w:r>
      <w:r w:rsidRPr="00A96E0A">
        <w:rPr>
          <w:rFonts w:eastAsia="Arial"/>
          <w:szCs w:val="24"/>
        </w:rPr>
        <w:t xml:space="preserve"> Kentucky has eighty (80) total administrative regulations on occupational safety and health. </w:t>
      </w:r>
      <w:r w:rsidRPr="00A96E0A">
        <w:rPr>
          <w:rFonts w:eastAsia="Arial"/>
          <w:i/>
          <w:szCs w:val="24"/>
        </w:rPr>
        <w:t xml:space="preserve">See </w:t>
      </w:r>
      <w:r w:rsidRPr="00A96E0A">
        <w:rPr>
          <w:rFonts w:eastAsia="Arial"/>
          <w:szCs w:val="24"/>
        </w:rPr>
        <w:t xml:space="preserve">803 KAR, Chapter 2.  These regulations expressly incorporate some one hundred eighty-eight general industry federal regulations and some two-hundred </w:t>
      </w:r>
      <w:r w:rsidR="00C06F31" w:rsidRPr="00A96E0A">
        <w:rPr>
          <w:rFonts w:eastAsia="Arial"/>
          <w:szCs w:val="24"/>
        </w:rPr>
        <w:t>ninety-five</w:t>
      </w:r>
      <w:r w:rsidRPr="00A96E0A">
        <w:rPr>
          <w:rFonts w:eastAsia="Arial"/>
          <w:szCs w:val="24"/>
        </w:rPr>
        <w:t xml:space="preserve"> construction federal regulations.  </w:t>
      </w:r>
      <w:r w:rsidR="00CC7E8F" w:rsidRPr="00B37B75">
        <w:rPr>
          <w:rFonts w:eastAsia="Arial"/>
          <w:b/>
          <w:bCs/>
          <w:szCs w:val="24"/>
          <w:u w:val="single"/>
        </w:rPr>
        <w:t xml:space="preserve">Over the past </w:t>
      </w:r>
      <w:r w:rsidR="00C06F31" w:rsidRPr="00B37B75">
        <w:rPr>
          <w:rFonts w:eastAsia="Arial"/>
          <w:b/>
          <w:bCs/>
          <w:szCs w:val="24"/>
          <w:u w:val="single"/>
        </w:rPr>
        <w:t>49</w:t>
      </w:r>
      <w:r w:rsidR="00CC7E8F" w:rsidRPr="00B37B75">
        <w:rPr>
          <w:rFonts w:eastAsia="Arial"/>
          <w:b/>
          <w:bCs/>
          <w:szCs w:val="24"/>
          <w:u w:val="single"/>
        </w:rPr>
        <w:t>-years only</w:t>
      </w:r>
      <w:r w:rsidR="00CC7E8F" w:rsidRPr="00B37B75">
        <w:rPr>
          <w:rFonts w:eastAsia="Arial"/>
          <w:szCs w:val="24"/>
          <w:u w:val="single"/>
        </w:rPr>
        <w:t xml:space="preserve"> </w:t>
      </w:r>
      <w:r w:rsidRPr="00B37B75">
        <w:rPr>
          <w:rFonts w:eastAsia="Arial"/>
          <w:b/>
          <w:bCs/>
          <w:szCs w:val="24"/>
          <w:u w:val="single"/>
        </w:rPr>
        <w:t xml:space="preserve">14 Kentucky OSH regulations </w:t>
      </w:r>
      <w:r w:rsidR="00830B21" w:rsidRPr="00B37B75">
        <w:rPr>
          <w:rFonts w:eastAsia="Arial"/>
          <w:b/>
          <w:bCs/>
          <w:szCs w:val="24"/>
          <w:u w:val="single"/>
        </w:rPr>
        <w:t xml:space="preserve">have been implemented which </w:t>
      </w:r>
      <w:r w:rsidRPr="00B37B75">
        <w:rPr>
          <w:rFonts w:eastAsia="Arial"/>
          <w:b/>
          <w:bCs/>
          <w:szCs w:val="24"/>
          <w:u w:val="single"/>
        </w:rPr>
        <w:t xml:space="preserve">differ from federal </w:t>
      </w:r>
      <w:r w:rsidR="00C06F31" w:rsidRPr="00B37B75">
        <w:rPr>
          <w:rFonts w:eastAsia="Arial"/>
          <w:b/>
          <w:bCs/>
          <w:szCs w:val="24"/>
          <w:u w:val="single"/>
        </w:rPr>
        <w:t>regulations.</w:t>
      </w:r>
      <w:r w:rsidR="00C06F31" w:rsidRPr="00A96E0A">
        <w:rPr>
          <w:rFonts w:eastAsia="Arial"/>
          <w:szCs w:val="24"/>
        </w:rPr>
        <w:t xml:space="preserve"> *</w:t>
      </w:r>
    </w:p>
    <w:p w14:paraId="256BF37B" w14:textId="285F5D4C" w:rsidR="00136BDF" w:rsidRPr="00A96E0A" w:rsidRDefault="00C06F31" w:rsidP="00136BDF">
      <w:pPr>
        <w:spacing w:after="240" w:line="276" w:lineRule="auto"/>
        <w:rPr>
          <w:rFonts w:eastAsia="Arial"/>
          <w:szCs w:val="24"/>
          <w:highlight w:val="white"/>
          <w:lang w:val="en"/>
        </w:rPr>
      </w:pPr>
      <w:r>
        <w:rPr>
          <w:rFonts w:eastAsia="Arial"/>
          <w:szCs w:val="24"/>
          <w:highlight w:val="white"/>
          <w:lang w:val="en"/>
        </w:rPr>
        <w:t>I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n the few instances where Kentucky’s OSH program differs from the federal standard, </w:t>
      </w:r>
      <w:r w:rsidR="00136BDF" w:rsidRPr="007F5082">
        <w:rPr>
          <w:rFonts w:eastAsia="Arial"/>
          <w:b/>
          <w:bCs/>
          <w:szCs w:val="24"/>
          <w:highlight w:val="white"/>
          <w:lang w:val="en"/>
        </w:rPr>
        <w:t>it is to provide extra protection for Kentucky’s workers.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 For example, </w:t>
      </w:r>
      <w:r w:rsidR="00136BDF" w:rsidRPr="00A96E0A">
        <w:rPr>
          <w:rFonts w:eastAsia="Arial"/>
          <w:b/>
          <w:bCs/>
          <w:szCs w:val="24"/>
          <w:highlight w:val="white"/>
          <w:lang w:val="en"/>
        </w:rPr>
        <w:t>one Kentucky-specific regulation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 </w:t>
      </w:r>
      <w:r w:rsidR="00136BDF" w:rsidRPr="00A96E0A">
        <w:rPr>
          <w:rFonts w:eastAsia="Arial"/>
          <w:b/>
          <w:bCs/>
          <w:szCs w:val="24"/>
          <w:highlight w:val="white"/>
          <w:lang w:val="en"/>
        </w:rPr>
        <w:t>protects workers charging automotive batteries by requiring facilities for flushing battery acid from eyes and skin.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 </w:t>
      </w:r>
      <w:r w:rsidR="00136BDF" w:rsidRPr="00A96E0A">
        <w:rPr>
          <w:rFonts w:eastAsia="Arial"/>
          <w:i/>
          <w:szCs w:val="24"/>
          <w:highlight w:val="white"/>
          <w:lang w:val="en"/>
        </w:rPr>
        <w:t>See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 803 KAR 2:015. In 2010, one worker received severe burns</w:t>
      </w:r>
      <w:r w:rsidR="00136BDF" w:rsidRPr="00A96E0A">
        <w:rPr>
          <w:rFonts w:eastAsia="Arial"/>
          <w:szCs w:val="24"/>
          <w:highlight w:val="white"/>
        </w:rPr>
        <w:t xml:space="preserve"> 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to the face and arms when he was not provided appropriate personal protective equipment and these facilities were not available. </w:t>
      </w:r>
    </w:p>
    <w:p w14:paraId="39687E4A" w14:textId="2CCA0758" w:rsidR="00136BDF" w:rsidRPr="00A96E0A" w:rsidRDefault="00136BDF" w:rsidP="00136BDF">
      <w:pPr>
        <w:spacing w:after="240" w:line="276" w:lineRule="auto"/>
        <w:rPr>
          <w:rFonts w:eastAsia="Arial"/>
          <w:szCs w:val="24"/>
          <w:highlight w:val="white"/>
          <w:lang w:val="en"/>
        </w:rPr>
      </w:pPr>
      <w:r w:rsidRPr="00A96E0A">
        <w:rPr>
          <w:rFonts w:eastAsia="Arial"/>
          <w:szCs w:val="24"/>
          <w:highlight w:val="white"/>
          <w:lang w:val="en"/>
        </w:rPr>
        <w:t xml:space="preserve">Another example is Kentucky’s </w:t>
      </w:r>
      <w:r w:rsidRPr="00A96E0A">
        <w:rPr>
          <w:rFonts w:eastAsia="Arial"/>
          <w:b/>
          <w:bCs/>
          <w:szCs w:val="24"/>
          <w:highlight w:val="white"/>
          <w:lang w:val="en"/>
        </w:rPr>
        <w:t>steel erection regulation</w:t>
      </w:r>
      <w:r w:rsidRPr="00A96E0A">
        <w:rPr>
          <w:rFonts w:eastAsia="Arial"/>
          <w:szCs w:val="24"/>
          <w:highlight w:val="white"/>
          <w:lang w:val="en"/>
        </w:rPr>
        <w:t xml:space="preserve">, 803 KAR 2:412, </w:t>
      </w:r>
      <w:r w:rsidRPr="00A96E0A">
        <w:rPr>
          <w:rFonts w:eastAsia="Arial"/>
          <w:b/>
          <w:bCs/>
          <w:szCs w:val="24"/>
          <w:highlight w:val="white"/>
          <w:lang w:val="en"/>
        </w:rPr>
        <w:t xml:space="preserve">which requires a </w:t>
      </w:r>
      <w:r w:rsidR="00B37B75" w:rsidRPr="00A96E0A">
        <w:rPr>
          <w:rFonts w:eastAsia="Arial"/>
          <w:b/>
          <w:bCs/>
          <w:szCs w:val="24"/>
          <w:highlight w:val="white"/>
          <w:lang w:val="en"/>
        </w:rPr>
        <w:t>ten-foot</w:t>
      </w:r>
      <w:r w:rsidRPr="00A96E0A">
        <w:rPr>
          <w:rFonts w:eastAsia="Arial"/>
          <w:b/>
          <w:bCs/>
          <w:szCs w:val="24"/>
          <w:highlight w:val="white"/>
          <w:lang w:val="en"/>
        </w:rPr>
        <w:t xml:space="preserve"> maximum height for fall protection, which is more stringent than the federal equivalent – a thirty</w:t>
      </w:r>
      <w:r w:rsidR="00B37B75">
        <w:rPr>
          <w:rFonts w:eastAsia="Arial"/>
          <w:b/>
          <w:bCs/>
          <w:szCs w:val="24"/>
          <w:highlight w:val="white"/>
          <w:lang w:val="en"/>
        </w:rPr>
        <w:t>-</w:t>
      </w:r>
      <w:r w:rsidRPr="00A96E0A">
        <w:rPr>
          <w:rFonts w:eastAsia="Arial"/>
          <w:b/>
          <w:bCs/>
          <w:szCs w:val="24"/>
          <w:highlight w:val="white"/>
          <w:lang w:val="en"/>
        </w:rPr>
        <w:t>foot maximum.</w:t>
      </w:r>
      <w:r w:rsidRPr="00A96E0A">
        <w:rPr>
          <w:rFonts w:eastAsia="Arial"/>
          <w:szCs w:val="24"/>
          <w:highlight w:val="white"/>
          <w:lang w:val="en"/>
        </w:rPr>
        <w:t xml:space="preserve"> </w:t>
      </w:r>
      <w:r w:rsidR="00CC7E8F">
        <w:rPr>
          <w:rFonts w:eastAsia="Arial"/>
          <w:szCs w:val="24"/>
          <w:highlight w:val="white"/>
          <w:lang w:val="en"/>
        </w:rPr>
        <w:t xml:space="preserve"> </w:t>
      </w:r>
    </w:p>
    <w:p w14:paraId="78C1B718" w14:textId="51EC91E4" w:rsidR="00136BDF" w:rsidRPr="00A96E0A" w:rsidRDefault="0093729F" w:rsidP="00136BDF">
      <w:pPr>
        <w:spacing w:after="240" w:line="276" w:lineRule="auto"/>
        <w:rPr>
          <w:rFonts w:eastAsia="Arial"/>
          <w:szCs w:val="24"/>
          <w:highlight w:val="white"/>
        </w:rPr>
      </w:pPr>
      <w:r>
        <w:rPr>
          <w:rFonts w:eastAsia="Arial"/>
          <w:b/>
          <w:bCs/>
          <w:szCs w:val="24"/>
          <w:highlight w:val="white"/>
          <w:lang w:val="en"/>
        </w:rPr>
        <w:t xml:space="preserve">And </w:t>
      </w:r>
      <w:r w:rsidR="00136BDF" w:rsidRPr="00A96E0A">
        <w:rPr>
          <w:rFonts w:eastAsia="Arial"/>
          <w:b/>
          <w:bCs/>
          <w:szCs w:val="24"/>
          <w:highlight w:val="white"/>
          <w:lang w:val="en"/>
        </w:rPr>
        <w:t>Kentucky require</w:t>
      </w:r>
      <w:r w:rsidR="00A86B25">
        <w:rPr>
          <w:rFonts w:eastAsia="Arial"/>
          <w:b/>
          <w:bCs/>
          <w:szCs w:val="24"/>
          <w:highlight w:val="white"/>
          <w:lang w:val="en"/>
        </w:rPr>
        <w:t>s</w:t>
      </w:r>
      <w:r w:rsidR="00136BDF" w:rsidRPr="00A96E0A">
        <w:rPr>
          <w:rFonts w:eastAsia="Arial"/>
          <w:b/>
          <w:bCs/>
          <w:szCs w:val="24"/>
          <w:highlight w:val="white"/>
          <w:lang w:val="en"/>
        </w:rPr>
        <w:t xml:space="preserve"> that employers have individuals on-site with first aid training and supplies.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 </w:t>
      </w:r>
      <w:r w:rsidR="00136BDF" w:rsidRPr="00A96E0A">
        <w:rPr>
          <w:rFonts w:eastAsia="Arial"/>
          <w:i/>
          <w:szCs w:val="24"/>
          <w:highlight w:val="white"/>
          <w:lang w:val="en"/>
        </w:rPr>
        <w:t xml:space="preserve">See 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803 KAR 2:310.  In 2019, a worker died when a tree fell on him and none of the employees present were </w:t>
      </w:r>
      <w:r w:rsidR="00A86B25" w:rsidRPr="00A96E0A">
        <w:rPr>
          <w:rFonts w:eastAsia="Arial"/>
          <w:szCs w:val="24"/>
          <w:highlight w:val="white"/>
          <w:lang w:val="en"/>
        </w:rPr>
        <w:t>first aid</w:t>
      </w:r>
      <w:r w:rsidR="00136BDF" w:rsidRPr="00A96E0A">
        <w:rPr>
          <w:rFonts w:eastAsia="Arial"/>
          <w:szCs w:val="24"/>
          <w:highlight w:val="white"/>
          <w:lang w:val="en"/>
        </w:rPr>
        <w:t xml:space="preserve"> trained or had first aid supplies on site.</w:t>
      </w:r>
    </w:p>
    <w:p w14:paraId="423AAAA8" w14:textId="142C311A" w:rsidR="00136BDF" w:rsidRPr="00A96E0A" w:rsidRDefault="00136BDF" w:rsidP="00136BDF">
      <w:pPr>
        <w:spacing w:after="240" w:line="276" w:lineRule="auto"/>
        <w:rPr>
          <w:rFonts w:eastAsia="Arial"/>
          <w:szCs w:val="24"/>
          <w:highlight w:val="white"/>
          <w:lang w:val="en"/>
        </w:rPr>
      </w:pPr>
      <w:r w:rsidRPr="001A7A0A">
        <w:rPr>
          <w:rFonts w:eastAsia="Arial"/>
          <w:szCs w:val="24"/>
          <w:highlight w:val="white"/>
          <w:lang w:val="en"/>
        </w:rPr>
        <w:t xml:space="preserve">These few </w:t>
      </w:r>
      <w:r>
        <w:rPr>
          <w:rFonts w:eastAsia="Arial"/>
          <w:szCs w:val="24"/>
          <w:highlight w:val="white"/>
          <w:lang w:val="en"/>
        </w:rPr>
        <w:t xml:space="preserve">distinctive </w:t>
      </w:r>
      <w:r w:rsidRPr="001A7A0A">
        <w:rPr>
          <w:rFonts w:eastAsia="Arial"/>
          <w:szCs w:val="24"/>
          <w:highlight w:val="white"/>
          <w:lang w:val="en"/>
        </w:rPr>
        <w:t>regulations not only save lives, but they provide savings to Kentucky businesses in the form of Workers’ Compensation premium</w:t>
      </w:r>
      <w:r>
        <w:rPr>
          <w:rFonts w:eastAsia="Arial"/>
          <w:szCs w:val="24"/>
          <w:highlight w:val="white"/>
          <w:lang w:val="en"/>
        </w:rPr>
        <w:t xml:space="preserve"> rate</w:t>
      </w:r>
      <w:r w:rsidRPr="001A7A0A">
        <w:rPr>
          <w:rFonts w:eastAsia="Arial"/>
          <w:szCs w:val="24"/>
          <w:highlight w:val="white"/>
          <w:lang w:val="en"/>
        </w:rPr>
        <w:t>s.</w:t>
      </w:r>
      <w:r>
        <w:rPr>
          <w:rFonts w:eastAsia="Arial"/>
          <w:b/>
          <w:bCs/>
          <w:szCs w:val="24"/>
          <w:highlight w:val="white"/>
          <w:lang w:val="en"/>
        </w:rPr>
        <w:t xml:space="preserve">  Kentucky employers have e</w:t>
      </w:r>
      <w:r w:rsidR="00CC7E8F">
        <w:rPr>
          <w:rFonts w:eastAsia="Arial"/>
          <w:b/>
          <w:bCs/>
          <w:szCs w:val="24"/>
          <w:highlight w:val="white"/>
          <w:lang w:val="en"/>
        </w:rPr>
        <w:t>xperienced</w:t>
      </w:r>
      <w:r>
        <w:rPr>
          <w:rFonts w:eastAsia="Arial"/>
          <w:b/>
          <w:bCs/>
          <w:szCs w:val="24"/>
          <w:highlight w:val="white"/>
          <w:lang w:val="en"/>
        </w:rPr>
        <w:t xml:space="preserve"> 15 consecutive years of reductions in Workers’ Comp premium rates.</w:t>
      </w:r>
    </w:p>
    <w:p w14:paraId="5FB1C619" w14:textId="1279187D" w:rsidR="00136BDF" w:rsidRDefault="00136BDF" w:rsidP="00136BDF">
      <w:pPr>
        <w:spacing w:after="240" w:line="276" w:lineRule="auto"/>
        <w:rPr>
          <w:rFonts w:eastAsia="Arial"/>
          <w:b/>
          <w:bCs/>
          <w:szCs w:val="24"/>
          <w:lang w:val="en"/>
        </w:rPr>
      </w:pPr>
      <w:r w:rsidRPr="00C67593">
        <w:rPr>
          <w:rFonts w:eastAsia="Arial"/>
          <w:b/>
          <w:bCs/>
          <w:szCs w:val="24"/>
          <w:lang w:val="en"/>
        </w:rPr>
        <w:t>Kentucky’s OSH Program has been incredibly successful.</w:t>
      </w:r>
      <w:r w:rsidRPr="00A96E0A">
        <w:rPr>
          <w:rFonts w:eastAsia="Arial"/>
          <w:szCs w:val="24"/>
          <w:lang w:val="en"/>
        </w:rPr>
        <w:t xml:space="preserve"> </w:t>
      </w:r>
      <w:r w:rsidRPr="00B37B75">
        <w:rPr>
          <w:rFonts w:eastAsia="Arial"/>
          <w:b/>
          <w:bCs/>
          <w:szCs w:val="24"/>
          <w:lang w:val="en"/>
        </w:rPr>
        <w:t xml:space="preserve">This year </w:t>
      </w:r>
      <w:r w:rsidR="00CC7E8F" w:rsidRPr="00B37B75">
        <w:rPr>
          <w:rFonts w:eastAsia="Arial"/>
          <w:b/>
          <w:bCs/>
          <w:szCs w:val="24"/>
          <w:lang w:val="en"/>
        </w:rPr>
        <w:t>Kentucky</w:t>
      </w:r>
      <w:r w:rsidRPr="00B37B75">
        <w:rPr>
          <w:rFonts w:eastAsia="Arial"/>
          <w:b/>
          <w:bCs/>
          <w:szCs w:val="24"/>
          <w:lang w:val="en"/>
        </w:rPr>
        <w:t>’s</w:t>
      </w:r>
      <w:r w:rsidRPr="00C67593">
        <w:rPr>
          <w:rFonts w:eastAsia="Arial"/>
          <w:b/>
          <w:bCs/>
          <w:szCs w:val="24"/>
          <w:lang w:val="en"/>
        </w:rPr>
        <w:t xml:space="preserve"> recordable nonfatal occupational injury and illness rate had fallen to the lowest point on record</w:t>
      </w:r>
      <w:r w:rsidRPr="00C67593">
        <w:rPr>
          <w:b/>
          <w:bCs/>
          <w:szCs w:val="24"/>
        </w:rPr>
        <w:t xml:space="preserve"> based on 2019, pre-COVID-19 BLS data.</w:t>
      </w:r>
      <w:r w:rsidRPr="00A96E0A">
        <w:rPr>
          <w:szCs w:val="24"/>
        </w:rPr>
        <w:t xml:space="preserve"> </w:t>
      </w:r>
      <w:r w:rsidRPr="00B37B75">
        <w:rPr>
          <w:rFonts w:eastAsia="Arial"/>
          <w:b/>
          <w:bCs/>
          <w:szCs w:val="24"/>
          <w:lang w:val="en"/>
        </w:rPr>
        <w:t>The total recordable incidence rate for all industries fell to its lowest level since the U.S. Bureau of Labor Statistics began recording the data in 1996.</w:t>
      </w:r>
      <w:r w:rsidRPr="00A96E0A">
        <w:rPr>
          <w:rFonts w:eastAsia="Arial"/>
          <w:szCs w:val="24"/>
          <w:lang w:val="en"/>
        </w:rPr>
        <w:t xml:space="preserve"> </w:t>
      </w:r>
      <w:r w:rsidR="000F006D">
        <w:rPr>
          <w:rFonts w:eastAsia="Arial"/>
          <w:b/>
          <w:bCs/>
          <w:szCs w:val="24"/>
          <w:lang w:val="en"/>
        </w:rPr>
        <w:t>In</w:t>
      </w:r>
      <w:r w:rsidRPr="00736697">
        <w:rPr>
          <w:rFonts w:eastAsia="Arial"/>
          <w:b/>
          <w:bCs/>
          <w:szCs w:val="24"/>
          <w:lang w:val="en"/>
        </w:rPr>
        <w:t xml:space="preserve"> fiscal year 2020 the rate was 3.2 cases per 100 full-time equivalent workers, down from 8.4 in 1996.</w:t>
      </w:r>
      <w:r w:rsidRPr="00A96E0A">
        <w:rPr>
          <w:rFonts w:eastAsia="Arial"/>
          <w:szCs w:val="24"/>
          <w:lang w:val="en"/>
        </w:rPr>
        <w:t xml:space="preserve"> </w:t>
      </w:r>
      <w:r w:rsidRPr="00C67593">
        <w:rPr>
          <w:rFonts w:eastAsia="Arial"/>
          <w:b/>
          <w:bCs/>
          <w:szCs w:val="24"/>
          <w:lang w:val="en"/>
        </w:rPr>
        <w:t xml:space="preserve">This is no time to reverse that progress, which creates safe jobs and </w:t>
      </w:r>
      <w:r w:rsidR="00A86B25">
        <w:rPr>
          <w:rFonts w:eastAsia="Arial"/>
          <w:b/>
          <w:bCs/>
          <w:szCs w:val="24"/>
          <w:lang w:val="en"/>
        </w:rPr>
        <w:t>promotes economic development in our Commonwealth</w:t>
      </w:r>
      <w:r w:rsidRPr="00C67593">
        <w:rPr>
          <w:rFonts w:eastAsia="Arial"/>
          <w:b/>
          <w:bCs/>
          <w:szCs w:val="24"/>
          <w:lang w:val="en"/>
        </w:rPr>
        <w:t>.</w:t>
      </w:r>
    </w:p>
    <w:p w14:paraId="5408F41D" w14:textId="27083B36" w:rsidR="00B34AA4" w:rsidRDefault="00C06F31" w:rsidP="00C06F31">
      <w:pPr>
        <w:spacing w:after="240" w:line="276" w:lineRule="auto"/>
        <w:rPr>
          <w:rFonts w:eastAsia="Arial"/>
          <w:b/>
          <w:bCs/>
          <w:szCs w:val="24"/>
          <w:lang w:val="en"/>
        </w:rPr>
      </w:pPr>
      <w:r w:rsidRPr="00C06F31">
        <w:rPr>
          <w:rFonts w:eastAsia="Arial"/>
          <w:b/>
          <w:bCs/>
          <w:szCs w:val="24"/>
          <w:lang w:val="en"/>
        </w:rPr>
        <w:t xml:space="preserve">Based on the foregoing I respectfully urge you to oppose HB 475.  Thank you. </w:t>
      </w:r>
    </w:p>
    <w:p w14:paraId="01D43CDF" w14:textId="0E4327BF" w:rsidR="00E248D7" w:rsidRDefault="00E248D7" w:rsidP="00B37B75">
      <w:pPr>
        <w:jc w:val="both"/>
      </w:pPr>
      <w:r>
        <w:rPr>
          <w:rFonts w:eastAsia="Arial"/>
          <w:sz w:val="20"/>
        </w:rPr>
        <w:t>*</w:t>
      </w:r>
      <w:r w:rsidRPr="00A96E0A">
        <w:rPr>
          <w:rFonts w:eastAsia="Arial"/>
          <w:sz w:val="20"/>
        </w:rPr>
        <w:t>803 KAR 2:019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2:240</w:t>
      </w:r>
      <w:r>
        <w:rPr>
          <w:rFonts w:eastAsia="Arial"/>
          <w:sz w:val="20"/>
        </w:rPr>
        <w:t>;</w:t>
      </w:r>
      <w:r w:rsidRPr="00A96E0A">
        <w:rPr>
          <w:rFonts w:eastAsia="Arial"/>
          <w:sz w:val="20"/>
        </w:rPr>
        <w:tab/>
        <w:t>803 KAR 2:306</w:t>
      </w:r>
      <w:r>
        <w:rPr>
          <w:rFonts w:eastAsia="Arial"/>
          <w:sz w:val="20"/>
        </w:rPr>
        <w:t>;</w:t>
      </w:r>
      <w:r w:rsidRPr="00A96E0A">
        <w:rPr>
          <w:rFonts w:eastAsia="Arial"/>
          <w:sz w:val="20"/>
        </w:rPr>
        <w:tab/>
        <w:t>803 KAR 2:307</w:t>
      </w:r>
      <w:r>
        <w:rPr>
          <w:rFonts w:eastAsia="Arial"/>
          <w:sz w:val="20"/>
        </w:rPr>
        <w:t>;</w:t>
      </w:r>
      <w:r w:rsidRPr="00A96E0A">
        <w:rPr>
          <w:rFonts w:eastAsia="Arial"/>
          <w:sz w:val="20"/>
        </w:rPr>
        <w:tab/>
        <w:t>803 KAR 2:309</w:t>
      </w:r>
      <w:r>
        <w:rPr>
          <w:rFonts w:eastAsia="Arial"/>
          <w:sz w:val="20"/>
        </w:rPr>
        <w:t>;</w:t>
      </w:r>
      <w:r w:rsidRPr="00A96E0A">
        <w:rPr>
          <w:rFonts w:eastAsia="Arial"/>
          <w:sz w:val="20"/>
        </w:rPr>
        <w:tab/>
        <w:t>803 KAR 2:310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2:314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2:318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2:320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2:325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2:412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2:417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2:435</w:t>
      </w:r>
      <w:r>
        <w:rPr>
          <w:rFonts w:eastAsia="Arial"/>
          <w:sz w:val="20"/>
        </w:rPr>
        <w:t xml:space="preserve">; </w:t>
      </w:r>
      <w:r w:rsidRPr="00A96E0A">
        <w:rPr>
          <w:rFonts w:eastAsia="Arial"/>
          <w:sz w:val="20"/>
        </w:rPr>
        <w:t>803 KAR 2:440</w:t>
      </w:r>
    </w:p>
    <w:sectPr w:rsidR="00E248D7" w:rsidSect="00A96E0A">
      <w:footerReference w:type="firs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58AF2" w14:textId="77777777" w:rsidR="00000000" w:rsidRDefault="00D56724">
      <w:r>
        <w:separator/>
      </w:r>
    </w:p>
  </w:endnote>
  <w:endnote w:type="continuationSeparator" w:id="0">
    <w:p w14:paraId="58A29EB8" w14:textId="77777777" w:rsidR="00000000" w:rsidRDefault="00D5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BA5A" w14:textId="77777777" w:rsidR="00A96E0A" w:rsidRPr="00A96E0A" w:rsidRDefault="000F006D" w:rsidP="00A96E0A">
    <w:pPr>
      <w:jc w:val="both"/>
      <w:rPr>
        <w:rFonts w:eastAsia="Arial"/>
        <w:sz w:val="20"/>
      </w:rPr>
    </w:pPr>
    <w:r>
      <w:rPr>
        <w:rFonts w:eastAsia="Arial"/>
        <w:sz w:val="21"/>
        <w:szCs w:val="21"/>
      </w:rPr>
      <w:t>*-</w:t>
    </w:r>
    <w:r>
      <w:rPr>
        <w:rFonts w:eastAsia="Arial"/>
        <w:sz w:val="21"/>
        <w:szCs w:val="21"/>
      </w:rPr>
      <w:tab/>
    </w:r>
    <w:r w:rsidRPr="00A96E0A">
      <w:rPr>
        <w:rFonts w:eastAsia="Arial"/>
        <w:sz w:val="20"/>
      </w:rPr>
      <w:t>803 KAR 2:019</w:t>
    </w:r>
    <w:r w:rsidRPr="00A96E0A">
      <w:rPr>
        <w:rFonts w:eastAsia="Arial"/>
        <w:sz w:val="20"/>
      </w:rPr>
      <w:tab/>
      <w:t>803 KAR 2:240</w:t>
    </w:r>
    <w:r w:rsidRPr="00A96E0A">
      <w:rPr>
        <w:rFonts w:eastAsia="Arial"/>
        <w:sz w:val="20"/>
      </w:rPr>
      <w:tab/>
      <w:t>803 KAR 2:306</w:t>
    </w:r>
    <w:r w:rsidRPr="00A96E0A">
      <w:rPr>
        <w:rFonts w:eastAsia="Arial"/>
        <w:sz w:val="20"/>
      </w:rPr>
      <w:tab/>
      <w:t>803 KAR 2:307</w:t>
    </w:r>
    <w:r w:rsidRPr="00A96E0A">
      <w:rPr>
        <w:rFonts w:eastAsia="Arial"/>
        <w:sz w:val="20"/>
      </w:rPr>
      <w:tab/>
      <w:t>803 KAR 2:309</w:t>
    </w:r>
    <w:r w:rsidRPr="00A96E0A">
      <w:rPr>
        <w:rFonts w:eastAsia="Arial"/>
        <w:sz w:val="20"/>
      </w:rPr>
      <w:tab/>
      <w:t>803 KAR 2:310</w:t>
    </w:r>
    <w:r w:rsidRPr="00A96E0A">
      <w:rPr>
        <w:rFonts w:eastAsia="Arial"/>
        <w:sz w:val="20"/>
      </w:rPr>
      <w:tab/>
      <w:t>803 KAR 2:314</w:t>
    </w:r>
  </w:p>
  <w:p w14:paraId="1C71E743" w14:textId="77777777" w:rsidR="00A96E0A" w:rsidRPr="00A96E0A" w:rsidRDefault="000F006D" w:rsidP="00A96E0A">
    <w:pPr>
      <w:ind w:firstLine="720"/>
      <w:jc w:val="both"/>
      <w:rPr>
        <w:rFonts w:eastAsia="Arial"/>
        <w:sz w:val="20"/>
      </w:rPr>
    </w:pPr>
    <w:r w:rsidRPr="00A96E0A">
      <w:rPr>
        <w:rFonts w:eastAsia="Arial"/>
        <w:sz w:val="20"/>
      </w:rPr>
      <w:t>803 KAR 2:318</w:t>
    </w:r>
    <w:r w:rsidRPr="00A96E0A">
      <w:rPr>
        <w:rFonts w:eastAsia="Arial"/>
        <w:sz w:val="20"/>
      </w:rPr>
      <w:tab/>
      <w:t>803 KAR 2:320</w:t>
    </w:r>
    <w:r w:rsidRPr="00A96E0A">
      <w:rPr>
        <w:rFonts w:eastAsia="Arial"/>
        <w:sz w:val="20"/>
      </w:rPr>
      <w:tab/>
      <w:t>803 KAR 2:325</w:t>
    </w:r>
    <w:r w:rsidRPr="00A96E0A">
      <w:rPr>
        <w:rFonts w:eastAsia="Arial"/>
        <w:sz w:val="20"/>
      </w:rPr>
      <w:tab/>
      <w:t>803 KAR 2:412</w:t>
    </w:r>
    <w:r w:rsidRPr="00A96E0A">
      <w:rPr>
        <w:rFonts w:eastAsia="Arial"/>
        <w:sz w:val="20"/>
      </w:rPr>
      <w:tab/>
      <w:t>803 KAR 2:417</w:t>
    </w:r>
    <w:r w:rsidRPr="00A96E0A">
      <w:rPr>
        <w:rFonts w:eastAsia="Arial"/>
        <w:sz w:val="20"/>
      </w:rPr>
      <w:tab/>
      <w:t>803 KAR 2:435</w:t>
    </w:r>
    <w:r w:rsidRPr="00A96E0A">
      <w:rPr>
        <w:rFonts w:eastAsia="Arial"/>
        <w:sz w:val="20"/>
      </w:rPr>
      <w:tab/>
      <w:t>803 KAR 2:440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EAA1A" w14:textId="77777777" w:rsidR="00000000" w:rsidRDefault="00D56724">
      <w:r>
        <w:separator/>
      </w:r>
    </w:p>
  </w:footnote>
  <w:footnote w:type="continuationSeparator" w:id="0">
    <w:p w14:paraId="5DAA7E94" w14:textId="77777777" w:rsidR="00000000" w:rsidRDefault="00D5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FC2"/>
    <w:multiLevelType w:val="hybridMultilevel"/>
    <w:tmpl w:val="25EEA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DF"/>
    <w:rsid w:val="000F006D"/>
    <w:rsid w:val="00136BDF"/>
    <w:rsid w:val="001D206F"/>
    <w:rsid w:val="006A15EC"/>
    <w:rsid w:val="00736697"/>
    <w:rsid w:val="007F5082"/>
    <w:rsid w:val="00830B21"/>
    <w:rsid w:val="0093729F"/>
    <w:rsid w:val="00A86B25"/>
    <w:rsid w:val="00B37B75"/>
    <w:rsid w:val="00C06F31"/>
    <w:rsid w:val="00CC7E8F"/>
    <w:rsid w:val="00D56724"/>
    <w:rsid w:val="00E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AFDFC"/>
  <w15:chartTrackingRefBased/>
  <w15:docId w15:val="{B7642EB0-5AB3-4453-B1C1-14EB16F4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Londrigan</dc:creator>
  <cp:keywords/>
  <dc:description/>
  <cp:lastModifiedBy>Allen, Sasche (LRC)</cp:lastModifiedBy>
  <cp:revision>2</cp:revision>
  <cp:lastPrinted>2021-03-15T14:34:00Z</cp:lastPrinted>
  <dcterms:created xsi:type="dcterms:W3CDTF">2021-03-15T15:32:00Z</dcterms:created>
  <dcterms:modified xsi:type="dcterms:W3CDTF">2021-03-15T15:32:00Z</dcterms:modified>
</cp:coreProperties>
</file>