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9966DB">
      <w:pPr>
        <w:jc w:val="center"/>
        <w:rPr>
          <w:sz w:val="24"/>
        </w:rPr>
      </w:pPr>
      <w:bookmarkStart w:id="0" w:name="SessionName"/>
      <w:bookmarkEnd w:id="0"/>
      <w:r>
        <w:rPr>
          <w:sz w:val="24"/>
        </w:rPr>
        <w:t>2022 REGULAR SESSION</w:t>
      </w:r>
    </w:p>
    <w:p w:rsidR="003444BD" w:rsidRDefault="003444BD">
      <w:pPr>
        <w:jc w:val="center"/>
        <w:rPr>
          <w:caps/>
          <w:sz w:val="24"/>
        </w:rPr>
      </w:pPr>
    </w:p>
    <w:p w:rsidR="009966DB" w:rsidRDefault="009966DB">
      <w:pPr>
        <w:jc w:val="center"/>
        <w:rPr>
          <w:caps/>
          <w:sz w:val="24"/>
        </w:rPr>
      </w:pPr>
      <w:bookmarkStart w:id="1" w:name="CommitteeName1"/>
      <w:bookmarkEnd w:id="1"/>
      <w:r>
        <w:rPr>
          <w:caps/>
          <w:sz w:val="24"/>
        </w:rPr>
        <w:t>House Standi</w:t>
      </w:r>
      <w:r w:rsidR="00DF2882">
        <w:rPr>
          <w:caps/>
          <w:sz w:val="24"/>
        </w:rPr>
        <w:t>ng Committee on Appropriations and</w:t>
      </w:r>
      <w:r>
        <w:rPr>
          <w:caps/>
          <w:sz w:val="24"/>
        </w:rPr>
        <w:t xml:space="preserve"> Revenue</w:t>
      </w:r>
    </w:p>
    <w:p w:rsidR="003444BD" w:rsidRDefault="003444BD">
      <w:pPr>
        <w:jc w:val="center"/>
        <w:rPr>
          <w:caps/>
          <w:sz w:val="24"/>
        </w:rPr>
      </w:pPr>
    </w:p>
    <w:p w:rsidR="003444BD" w:rsidRDefault="009966DB">
      <w:pPr>
        <w:jc w:val="center"/>
        <w:rPr>
          <w:caps/>
          <w:sz w:val="24"/>
        </w:rPr>
      </w:pPr>
      <w:r>
        <w:rPr>
          <w:caps/>
          <w:sz w:val="24"/>
        </w:rPr>
        <w:t>Budget Review Subcommittee on Postsecondary Education</w:t>
      </w:r>
    </w:p>
    <w:p w:rsidR="003444BD" w:rsidRDefault="003444BD">
      <w:pPr>
        <w:jc w:val="center"/>
        <w:rPr>
          <w:sz w:val="24"/>
        </w:rPr>
      </w:pPr>
    </w:p>
    <w:p w:rsidR="003444BD" w:rsidRDefault="009966DB">
      <w:pPr>
        <w:jc w:val="center"/>
        <w:rPr>
          <w:sz w:val="24"/>
        </w:rPr>
      </w:pPr>
      <w:bookmarkStart w:id="2" w:name="MeetingNumber"/>
      <w:bookmarkStart w:id="3" w:name="MeetingNumber1"/>
      <w:bookmarkEnd w:id="2"/>
      <w:bookmarkEnd w:id="3"/>
      <w:r>
        <w:rPr>
          <w:sz w:val="24"/>
        </w:rPr>
        <w:t>2nd</w:t>
      </w:r>
      <w:r w:rsidR="0041209E">
        <w:rPr>
          <w:sz w:val="24"/>
        </w:rPr>
        <w:t xml:space="preserve"> Meeting</w:t>
      </w:r>
    </w:p>
    <w:p w:rsidR="003444BD" w:rsidRDefault="003444BD">
      <w:pPr>
        <w:jc w:val="center"/>
        <w:rPr>
          <w:sz w:val="24"/>
        </w:rPr>
      </w:pPr>
    </w:p>
    <w:p w:rsidR="003444BD" w:rsidRDefault="009966DB">
      <w:pPr>
        <w:jc w:val="center"/>
        <w:rPr>
          <w:sz w:val="24"/>
        </w:rPr>
      </w:pPr>
      <w:bookmarkStart w:id="4" w:name="MeetingDate1"/>
      <w:bookmarkEnd w:id="4"/>
      <w:r>
        <w:rPr>
          <w:sz w:val="24"/>
        </w:rPr>
        <w:t>January 20, 2022</w:t>
      </w:r>
    </w:p>
    <w:p w:rsidR="003444BD" w:rsidRDefault="003444BD">
      <w:pPr>
        <w:jc w:val="both"/>
        <w:rPr>
          <w:sz w:val="24"/>
        </w:rPr>
      </w:pPr>
    </w:p>
    <w:p w:rsidR="003444BD" w:rsidRDefault="005D538C" w:rsidP="00DF2882">
      <w:pPr>
        <w:tabs>
          <w:tab w:val="left" w:pos="450"/>
        </w:tabs>
        <w:rPr>
          <w:sz w:val="24"/>
        </w:rPr>
      </w:pPr>
      <w:r>
        <w:rPr>
          <w:sz w:val="24"/>
        </w:rPr>
        <w:tab/>
      </w:r>
      <w:r w:rsidR="0041209E">
        <w:rPr>
          <w:sz w:val="24"/>
        </w:rPr>
        <w:t xml:space="preserve">The </w:t>
      </w:r>
      <w:bookmarkStart w:id="5" w:name="CommitteeName2"/>
      <w:bookmarkEnd w:id="5"/>
      <w:r w:rsidR="009966DB">
        <w:rPr>
          <w:sz w:val="24"/>
        </w:rPr>
        <w:t xml:space="preserve">Budget Review Subcommittee on Postsecondary Education of the House Standing Committee on Appropriations </w:t>
      </w:r>
      <w:r w:rsidR="00DE5B08">
        <w:rPr>
          <w:sz w:val="24"/>
        </w:rPr>
        <w:t>and</w:t>
      </w:r>
      <w:r w:rsidR="009966DB">
        <w:rPr>
          <w:sz w:val="24"/>
        </w:rPr>
        <w:t xml:space="preserve"> Revenue</w:t>
      </w:r>
      <w:r w:rsidR="0041209E">
        <w:rPr>
          <w:sz w:val="24"/>
        </w:rPr>
        <w:t xml:space="preserve"> held its </w:t>
      </w:r>
      <w:bookmarkStart w:id="6" w:name="meetingNum"/>
      <w:bookmarkStart w:id="7" w:name="MeetingNumber2"/>
      <w:bookmarkEnd w:id="6"/>
      <w:bookmarkEnd w:id="7"/>
      <w:r w:rsidR="009966DB">
        <w:rPr>
          <w:sz w:val="24"/>
        </w:rPr>
        <w:t>2nd</w:t>
      </w:r>
      <w:r w:rsidR="0041209E">
        <w:rPr>
          <w:sz w:val="24"/>
        </w:rPr>
        <w:t xml:space="preserve"> meeting of the </w:t>
      </w:r>
      <w:bookmarkStart w:id="8" w:name="SessionName2"/>
      <w:bookmarkEnd w:id="8"/>
      <w:r w:rsidR="009966DB">
        <w:rPr>
          <w:sz w:val="24"/>
        </w:rPr>
        <w:t>2022 Regular Session</w:t>
      </w:r>
      <w:r w:rsidR="0041209E">
        <w:rPr>
          <w:sz w:val="24"/>
        </w:rPr>
        <w:t xml:space="preserve"> on </w:t>
      </w:r>
      <w:bookmarkStart w:id="9" w:name="dayofweek"/>
      <w:bookmarkStart w:id="10" w:name="MeetingDate2"/>
      <w:bookmarkEnd w:id="9"/>
      <w:bookmarkEnd w:id="10"/>
      <w:r w:rsidR="009966DB">
        <w:rPr>
          <w:sz w:val="24"/>
        </w:rPr>
        <w:t>January 20, 2022,</w:t>
      </w:r>
      <w:r w:rsidR="0041209E">
        <w:rPr>
          <w:sz w:val="24"/>
        </w:rPr>
        <w:t xml:space="preserve"> at </w:t>
      </w:r>
      <w:bookmarkStart w:id="11" w:name="MeetingTime"/>
      <w:bookmarkEnd w:id="11"/>
      <w:r w:rsidR="009966DB">
        <w:rPr>
          <w:sz w:val="24"/>
        </w:rPr>
        <w:t>10:00 AM</w:t>
      </w:r>
      <w:r w:rsidR="0041209E">
        <w:rPr>
          <w:sz w:val="24"/>
        </w:rPr>
        <w:t xml:space="preserve">, in </w:t>
      </w:r>
      <w:bookmarkStart w:id="12" w:name="RoomNumber"/>
      <w:bookmarkEnd w:id="12"/>
      <w:r w:rsidR="009966DB">
        <w:rPr>
          <w:sz w:val="24"/>
        </w:rPr>
        <w:t>Room 171 of the Capitol Annex</w:t>
      </w:r>
      <w:r w:rsidR="0041209E">
        <w:rPr>
          <w:sz w:val="24"/>
        </w:rPr>
        <w:t>. The Chair called the meeting to order, and the secretary called the roll.</w:t>
      </w:r>
    </w:p>
    <w:p w:rsidR="003444BD" w:rsidRDefault="003444BD" w:rsidP="00DF2882">
      <w:pPr>
        <w:tabs>
          <w:tab w:val="left" w:pos="450"/>
        </w:tabs>
        <w:rPr>
          <w:sz w:val="24"/>
        </w:rPr>
      </w:pPr>
    </w:p>
    <w:p w:rsidR="003444BD" w:rsidRDefault="005D538C" w:rsidP="00DF2882">
      <w:pPr>
        <w:tabs>
          <w:tab w:val="left" w:pos="450"/>
        </w:tabs>
        <w:rPr>
          <w:sz w:val="24"/>
        </w:rPr>
      </w:pPr>
      <w:r w:rsidRPr="005D538C">
        <w:rPr>
          <w:sz w:val="24"/>
        </w:rPr>
        <w:tab/>
      </w:r>
      <w:r w:rsidR="0041209E">
        <w:rPr>
          <w:sz w:val="24"/>
          <w:u w:val="single"/>
        </w:rPr>
        <w:t>Members Present</w:t>
      </w:r>
      <w:r w:rsidR="0041209E">
        <w:rPr>
          <w:sz w:val="24"/>
        </w:rPr>
        <w:t xml:space="preserve">:  </w:t>
      </w:r>
      <w:bookmarkStart w:id="13" w:name="mp"/>
      <w:bookmarkStart w:id="14" w:name="MembersPresent"/>
      <w:bookmarkEnd w:id="13"/>
      <w:bookmarkEnd w:id="14"/>
      <w:r w:rsidR="009966DB">
        <w:rPr>
          <w:sz w:val="24"/>
        </w:rPr>
        <w:t xml:space="preserve">Representative James Tipton, Chair; Representatives Ken Fleming, Derrick Graham, </w:t>
      </w:r>
      <w:r w:rsidR="00A86823">
        <w:rPr>
          <w:sz w:val="24"/>
        </w:rPr>
        <w:t>and Bobby McCool</w:t>
      </w:r>
      <w:r w:rsidR="009966DB">
        <w:rPr>
          <w:sz w:val="24"/>
        </w:rPr>
        <w:t>.</w:t>
      </w:r>
    </w:p>
    <w:p w:rsidR="003444BD" w:rsidRDefault="003444BD" w:rsidP="00DF2882">
      <w:pPr>
        <w:tabs>
          <w:tab w:val="left" w:pos="450"/>
        </w:tabs>
        <w:rPr>
          <w:sz w:val="24"/>
        </w:rPr>
      </w:pPr>
    </w:p>
    <w:p w:rsidR="009966DB" w:rsidRDefault="005D538C" w:rsidP="00DF2882">
      <w:pPr>
        <w:tabs>
          <w:tab w:val="left" w:pos="450"/>
        </w:tabs>
        <w:rPr>
          <w:sz w:val="24"/>
        </w:rPr>
      </w:pPr>
      <w:r w:rsidRPr="005D538C">
        <w:rPr>
          <w:sz w:val="24"/>
        </w:rPr>
        <w:tab/>
      </w:r>
      <w:r>
        <w:rPr>
          <w:sz w:val="24"/>
          <w:u w:val="single"/>
        </w:rPr>
        <w:t>Guests</w:t>
      </w:r>
      <w:r w:rsidR="0041209E">
        <w:rPr>
          <w:sz w:val="24"/>
        </w:rPr>
        <w:t xml:space="preserve">:  </w:t>
      </w:r>
      <w:bookmarkStart w:id="15" w:name="EndPoint"/>
      <w:bookmarkEnd w:id="15"/>
      <w:r w:rsidR="0041209E">
        <w:rPr>
          <w:sz w:val="24"/>
        </w:rPr>
        <w:t xml:space="preserve"> </w:t>
      </w:r>
      <w:r w:rsidR="009966DB">
        <w:rPr>
          <w:sz w:val="24"/>
        </w:rPr>
        <w:t>Dr. Paul Czarapata, President, Kentucky Community and Technical College System</w:t>
      </w:r>
      <w:r w:rsidR="00DE5B08">
        <w:rPr>
          <w:sz w:val="24"/>
        </w:rPr>
        <w:t xml:space="preserve"> (KCTCS)</w:t>
      </w:r>
      <w:r w:rsidR="009966DB">
        <w:rPr>
          <w:sz w:val="24"/>
        </w:rPr>
        <w:t>; Dr. Larry Ferguson, President, Ashland Community and Technical College; Dr. Eli Capilouto, President, University of Kentucky</w:t>
      </w:r>
      <w:r w:rsidR="00DE5B08">
        <w:rPr>
          <w:sz w:val="24"/>
        </w:rPr>
        <w:t xml:space="preserve"> (UK)</w:t>
      </w:r>
      <w:r w:rsidR="009966DB">
        <w:rPr>
          <w:sz w:val="24"/>
        </w:rPr>
        <w:t xml:space="preserve">; Dr. Nancy Cox, </w:t>
      </w:r>
      <w:r w:rsidR="00DE5B08">
        <w:rPr>
          <w:sz w:val="24"/>
        </w:rPr>
        <w:t xml:space="preserve">Vice President of Land-Grant Engagement, and </w:t>
      </w:r>
      <w:r w:rsidR="009966DB">
        <w:rPr>
          <w:sz w:val="24"/>
        </w:rPr>
        <w:t>Dean, College of Agriculture, Food and Environment</w:t>
      </w:r>
      <w:r w:rsidR="00DE5B08">
        <w:rPr>
          <w:sz w:val="24"/>
        </w:rPr>
        <w:t>,</w:t>
      </w:r>
      <w:r w:rsidR="00682653">
        <w:rPr>
          <w:sz w:val="24"/>
        </w:rPr>
        <w:t xml:space="preserve"> U</w:t>
      </w:r>
      <w:r w:rsidR="00DE5B08">
        <w:rPr>
          <w:sz w:val="24"/>
        </w:rPr>
        <w:t>K; and</w:t>
      </w:r>
      <w:r w:rsidR="009966DB">
        <w:rPr>
          <w:sz w:val="24"/>
        </w:rPr>
        <w:t xml:space="preserve"> Bart Hardin, Executive Director for Government R</w:t>
      </w:r>
      <w:r w:rsidR="00682653">
        <w:rPr>
          <w:sz w:val="24"/>
        </w:rPr>
        <w:t>elations, UK</w:t>
      </w:r>
      <w:r w:rsidR="009966DB">
        <w:rPr>
          <w:sz w:val="24"/>
        </w:rPr>
        <w:t>.</w:t>
      </w:r>
    </w:p>
    <w:p w:rsidR="001B3B83" w:rsidRDefault="001B3B83" w:rsidP="00DF2882">
      <w:pPr>
        <w:tabs>
          <w:tab w:val="left" w:pos="450"/>
        </w:tabs>
        <w:rPr>
          <w:sz w:val="24"/>
        </w:rPr>
      </w:pPr>
    </w:p>
    <w:p w:rsidR="001B3B83" w:rsidRDefault="005D538C" w:rsidP="00DF2882">
      <w:pPr>
        <w:tabs>
          <w:tab w:val="left" w:pos="450"/>
        </w:tabs>
        <w:rPr>
          <w:sz w:val="24"/>
        </w:rPr>
      </w:pPr>
      <w:r w:rsidRPr="005D538C">
        <w:rPr>
          <w:sz w:val="24"/>
        </w:rPr>
        <w:tab/>
      </w:r>
      <w:r w:rsidR="001B3B83">
        <w:rPr>
          <w:sz w:val="24"/>
          <w:u w:val="single"/>
        </w:rPr>
        <w:t>LRC Staff</w:t>
      </w:r>
      <w:r w:rsidR="001B3B83">
        <w:rPr>
          <w:sz w:val="24"/>
        </w:rPr>
        <w:t>:   Savannah Wiley and Amie Elam.</w:t>
      </w:r>
    </w:p>
    <w:p w:rsidR="009966DB" w:rsidRPr="00682653" w:rsidRDefault="009966DB" w:rsidP="00DF2882">
      <w:pPr>
        <w:tabs>
          <w:tab w:val="left" w:pos="450"/>
        </w:tabs>
        <w:rPr>
          <w:sz w:val="24"/>
        </w:rPr>
      </w:pPr>
    </w:p>
    <w:p w:rsidR="00F62D14" w:rsidRPr="00A86823" w:rsidRDefault="009966DB" w:rsidP="00DF2882">
      <w:pPr>
        <w:tabs>
          <w:tab w:val="left" w:pos="450"/>
        </w:tabs>
        <w:rPr>
          <w:b/>
          <w:sz w:val="24"/>
        </w:rPr>
      </w:pPr>
      <w:r w:rsidRPr="00A86823">
        <w:rPr>
          <w:b/>
          <w:sz w:val="24"/>
        </w:rPr>
        <w:t xml:space="preserve">Kentucky </w:t>
      </w:r>
      <w:r w:rsidR="00F62D14" w:rsidRPr="00A86823">
        <w:rPr>
          <w:b/>
          <w:sz w:val="24"/>
        </w:rPr>
        <w:t xml:space="preserve">Community and </w:t>
      </w:r>
      <w:r w:rsidRPr="00A86823">
        <w:rPr>
          <w:b/>
          <w:sz w:val="24"/>
        </w:rPr>
        <w:t>Technical</w:t>
      </w:r>
      <w:r w:rsidR="00F62D14" w:rsidRPr="00A86823">
        <w:rPr>
          <w:b/>
          <w:sz w:val="24"/>
        </w:rPr>
        <w:t xml:space="preserve"> College System</w:t>
      </w:r>
    </w:p>
    <w:p w:rsidR="003F2D91" w:rsidRDefault="005D538C" w:rsidP="00DF2882">
      <w:pPr>
        <w:tabs>
          <w:tab w:val="left" w:pos="450"/>
        </w:tabs>
        <w:rPr>
          <w:sz w:val="24"/>
        </w:rPr>
      </w:pPr>
      <w:r>
        <w:rPr>
          <w:sz w:val="24"/>
        </w:rPr>
        <w:tab/>
      </w:r>
      <w:bookmarkStart w:id="16" w:name="_GoBack"/>
      <w:bookmarkEnd w:id="16"/>
      <w:r w:rsidR="003F2D91">
        <w:rPr>
          <w:sz w:val="24"/>
        </w:rPr>
        <w:t>Presentation</w:t>
      </w:r>
      <w:r w:rsidR="00731E32">
        <w:rPr>
          <w:sz w:val="24"/>
        </w:rPr>
        <w:t>s</w:t>
      </w:r>
      <w:r w:rsidR="003F2D91">
        <w:rPr>
          <w:sz w:val="24"/>
        </w:rPr>
        <w:t xml:space="preserve"> included information on dual</w:t>
      </w:r>
      <w:r w:rsidR="00A07F0A">
        <w:rPr>
          <w:sz w:val="24"/>
        </w:rPr>
        <w:t xml:space="preserve"> credit courses and performance based </w:t>
      </w:r>
      <w:r w:rsidR="003F2D91">
        <w:rPr>
          <w:sz w:val="24"/>
        </w:rPr>
        <w:t>funding</w:t>
      </w:r>
      <w:r w:rsidR="00A07F0A">
        <w:rPr>
          <w:sz w:val="24"/>
        </w:rPr>
        <w:t xml:space="preserve"> measures. Dual credit courses give students the chance to earn college credit by taking one or more college-level courses while still in high school, earning both high school and college credits for each dual credit course taken. They can take place at a variety of locations, including high schools, Area Technology Centers, Career/Tech Centers, </w:t>
      </w:r>
      <w:r w:rsidR="00080BCE">
        <w:rPr>
          <w:sz w:val="24"/>
        </w:rPr>
        <w:t>a</w:t>
      </w:r>
      <w:r w:rsidR="00A07F0A">
        <w:rPr>
          <w:sz w:val="24"/>
        </w:rPr>
        <w:t xml:space="preserve"> college, and online. The program helps give high school students the confidence they need to succeed in postsecondary education while they are still in high school, giving students a head start on their college careers. </w:t>
      </w:r>
    </w:p>
    <w:p w:rsidR="009966DB" w:rsidRDefault="009966DB" w:rsidP="00DF2882">
      <w:pPr>
        <w:tabs>
          <w:tab w:val="left" w:pos="450"/>
        </w:tabs>
        <w:rPr>
          <w:sz w:val="24"/>
        </w:rPr>
      </w:pPr>
    </w:p>
    <w:p w:rsidR="009966DB" w:rsidRDefault="005D538C" w:rsidP="00DF2882">
      <w:pPr>
        <w:tabs>
          <w:tab w:val="left" w:pos="450"/>
        </w:tabs>
        <w:rPr>
          <w:sz w:val="24"/>
        </w:rPr>
      </w:pPr>
      <w:r>
        <w:rPr>
          <w:sz w:val="24"/>
        </w:rPr>
        <w:tab/>
      </w:r>
      <w:r w:rsidR="00651C76">
        <w:rPr>
          <w:sz w:val="24"/>
        </w:rPr>
        <w:t xml:space="preserve">Chair Tipton commented that </w:t>
      </w:r>
      <w:r w:rsidR="00731E32">
        <w:rPr>
          <w:sz w:val="24"/>
        </w:rPr>
        <w:t xml:space="preserve">he sponsored legislation in the 2020 Regular Session of the General Assembly to deal with the issue, but since that session was cut short due to the pandemic, it did not move forward. The dual credit program and </w:t>
      </w:r>
      <w:r w:rsidR="00080BCE">
        <w:rPr>
          <w:sz w:val="24"/>
        </w:rPr>
        <w:t xml:space="preserve">Work Ready Kentucky </w:t>
      </w:r>
      <w:r w:rsidR="00731E32">
        <w:rPr>
          <w:sz w:val="24"/>
        </w:rPr>
        <w:t xml:space="preserve">Scholarship were realigned and separated for clarity. He has sponsored House Bill 85 in the 2022 Regular Session, which should be heard in committee next week.  </w:t>
      </w:r>
    </w:p>
    <w:p w:rsidR="009966DB" w:rsidRDefault="009966DB" w:rsidP="00DF2882">
      <w:pPr>
        <w:tabs>
          <w:tab w:val="left" w:pos="450"/>
        </w:tabs>
        <w:rPr>
          <w:sz w:val="24"/>
        </w:rPr>
      </w:pPr>
    </w:p>
    <w:p w:rsidR="003444BD" w:rsidRDefault="005D538C" w:rsidP="00DF2882">
      <w:pPr>
        <w:tabs>
          <w:tab w:val="left" w:pos="450"/>
        </w:tabs>
        <w:rPr>
          <w:sz w:val="24"/>
        </w:rPr>
      </w:pPr>
      <w:r>
        <w:rPr>
          <w:sz w:val="24"/>
        </w:rPr>
        <w:tab/>
      </w:r>
      <w:r w:rsidR="009966DB">
        <w:rPr>
          <w:sz w:val="24"/>
        </w:rPr>
        <w:t>In response to a question from Representative McCo</w:t>
      </w:r>
      <w:r w:rsidR="00731E32">
        <w:rPr>
          <w:sz w:val="24"/>
        </w:rPr>
        <w:t>ol regarding tracking the success of the dual credit program through numbers of participating students completing degrees, Dr. Czarapata replied that the data is available and will be provided to subcommittee members at a later date.</w:t>
      </w:r>
    </w:p>
    <w:p w:rsidR="005D538C" w:rsidRDefault="005D538C" w:rsidP="00DF2882">
      <w:pPr>
        <w:tabs>
          <w:tab w:val="left" w:pos="450"/>
        </w:tabs>
        <w:rPr>
          <w:b/>
          <w:sz w:val="24"/>
        </w:rPr>
      </w:pPr>
    </w:p>
    <w:p w:rsidR="009966DB" w:rsidRPr="009966DB" w:rsidRDefault="009966DB" w:rsidP="00DF2882">
      <w:pPr>
        <w:tabs>
          <w:tab w:val="left" w:pos="450"/>
        </w:tabs>
        <w:rPr>
          <w:b/>
          <w:sz w:val="24"/>
        </w:rPr>
      </w:pPr>
      <w:r w:rsidRPr="009966DB">
        <w:rPr>
          <w:b/>
          <w:sz w:val="24"/>
        </w:rPr>
        <w:t>University of Kentucky</w:t>
      </w:r>
    </w:p>
    <w:p w:rsidR="00E10B7A" w:rsidRDefault="005D538C" w:rsidP="00DF2882">
      <w:pPr>
        <w:tabs>
          <w:tab w:val="left" w:pos="450"/>
        </w:tabs>
        <w:rPr>
          <w:sz w:val="24"/>
        </w:rPr>
      </w:pPr>
      <w:r>
        <w:rPr>
          <w:sz w:val="24"/>
        </w:rPr>
        <w:tab/>
      </w:r>
      <w:r w:rsidR="003F2D91">
        <w:rPr>
          <w:sz w:val="24"/>
        </w:rPr>
        <w:t>Presentation included information on the devastating tornado da</w:t>
      </w:r>
      <w:r w:rsidR="004870A7">
        <w:rPr>
          <w:sz w:val="24"/>
        </w:rPr>
        <w:t xml:space="preserve">mage at Princeton </w:t>
      </w:r>
      <w:r w:rsidR="00080BCE">
        <w:rPr>
          <w:sz w:val="24"/>
        </w:rPr>
        <w:t xml:space="preserve">Research </w:t>
      </w:r>
      <w:r w:rsidR="004870A7">
        <w:rPr>
          <w:sz w:val="24"/>
        </w:rPr>
        <w:t>Station</w:t>
      </w:r>
      <w:r w:rsidR="00080BCE">
        <w:rPr>
          <w:sz w:val="24"/>
        </w:rPr>
        <w:t xml:space="preserve"> (Station)</w:t>
      </w:r>
      <w:r w:rsidR="004870A7">
        <w:rPr>
          <w:sz w:val="24"/>
        </w:rPr>
        <w:t>, the Asset P</w:t>
      </w:r>
      <w:r w:rsidR="003F2D91">
        <w:rPr>
          <w:sz w:val="24"/>
        </w:rPr>
        <w:t xml:space="preserve">reservation </w:t>
      </w:r>
      <w:r w:rsidR="004870A7">
        <w:rPr>
          <w:sz w:val="24"/>
        </w:rPr>
        <w:t>P</w:t>
      </w:r>
      <w:r w:rsidR="003F2D91">
        <w:rPr>
          <w:sz w:val="24"/>
        </w:rPr>
        <w:t>ool, a</w:t>
      </w:r>
      <w:r w:rsidR="00E10B7A">
        <w:rPr>
          <w:sz w:val="24"/>
        </w:rPr>
        <w:t>nd the Bucks for Brains program.</w:t>
      </w:r>
    </w:p>
    <w:p w:rsidR="00DE5B08" w:rsidRDefault="00DE5B08" w:rsidP="00DF2882">
      <w:pPr>
        <w:tabs>
          <w:tab w:val="left" w:pos="450"/>
        </w:tabs>
        <w:rPr>
          <w:sz w:val="24"/>
        </w:rPr>
      </w:pPr>
    </w:p>
    <w:p w:rsidR="00A86823" w:rsidRDefault="005D538C" w:rsidP="00DF2882">
      <w:pPr>
        <w:tabs>
          <w:tab w:val="left" w:pos="450"/>
        </w:tabs>
        <w:rPr>
          <w:sz w:val="24"/>
        </w:rPr>
      </w:pPr>
      <w:r>
        <w:rPr>
          <w:sz w:val="24"/>
        </w:rPr>
        <w:tab/>
      </w:r>
      <w:r w:rsidR="00A86823">
        <w:rPr>
          <w:sz w:val="24"/>
        </w:rPr>
        <w:t>Chair Tipton</w:t>
      </w:r>
      <w:r w:rsidR="00DE5B08">
        <w:rPr>
          <w:sz w:val="24"/>
        </w:rPr>
        <w:t xml:space="preserve"> commented that he remembers the early 1970s and the first time no-till planting of corn </w:t>
      </w:r>
      <w:r w:rsidR="00080BCE">
        <w:rPr>
          <w:sz w:val="24"/>
        </w:rPr>
        <w:t xml:space="preserve">was utilized, and the </w:t>
      </w:r>
      <w:r w:rsidR="00DE5B08">
        <w:rPr>
          <w:sz w:val="24"/>
        </w:rPr>
        <w:t xml:space="preserve">Station was instrumental in developing that research that is now a staple worldwide. He asked if there had been loss of life or injury </w:t>
      </w:r>
      <w:r w:rsidR="00080BCE">
        <w:rPr>
          <w:sz w:val="24"/>
        </w:rPr>
        <w:t>to</w:t>
      </w:r>
      <w:r w:rsidR="00DE5B08">
        <w:rPr>
          <w:sz w:val="24"/>
        </w:rPr>
        <w:t xml:space="preserve"> Station employees, and </w:t>
      </w:r>
      <w:r w:rsidR="00DF0B31">
        <w:rPr>
          <w:sz w:val="24"/>
        </w:rPr>
        <w:t>Dr. Cox</w:t>
      </w:r>
      <w:r w:rsidR="00DE5B08">
        <w:rPr>
          <w:sz w:val="24"/>
        </w:rPr>
        <w:t xml:space="preserve"> replied that there were a couple of people injured. One staff member was </w:t>
      </w:r>
      <w:r w:rsidR="00FA5638">
        <w:rPr>
          <w:sz w:val="24"/>
        </w:rPr>
        <w:t xml:space="preserve">severely injured when his house was destroyed off campus. There were a few others that took shelter </w:t>
      </w:r>
      <w:r w:rsidR="00080BCE">
        <w:rPr>
          <w:sz w:val="24"/>
        </w:rPr>
        <w:t xml:space="preserve">on campus </w:t>
      </w:r>
      <w:r w:rsidR="00FA5638">
        <w:rPr>
          <w:sz w:val="24"/>
        </w:rPr>
        <w:t xml:space="preserve">and sustained minor injuries, but are now safe. </w:t>
      </w:r>
    </w:p>
    <w:p w:rsidR="00FA5638" w:rsidRDefault="00FA5638" w:rsidP="00DF2882">
      <w:pPr>
        <w:tabs>
          <w:tab w:val="left" w:pos="450"/>
        </w:tabs>
        <w:rPr>
          <w:sz w:val="24"/>
        </w:rPr>
      </w:pPr>
    </w:p>
    <w:p w:rsidR="00FA5638" w:rsidRDefault="005D538C" w:rsidP="00DF2882">
      <w:pPr>
        <w:tabs>
          <w:tab w:val="left" w:pos="450"/>
        </w:tabs>
        <w:rPr>
          <w:sz w:val="24"/>
        </w:rPr>
      </w:pPr>
      <w:r>
        <w:rPr>
          <w:sz w:val="24"/>
        </w:rPr>
        <w:tab/>
      </w:r>
      <w:r w:rsidR="00FA5638">
        <w:rPr>
          <w:sz w:val="24"/>
        </w:rPr>
        <w:t xml:space="preserve">In response to a question from Chair Tipton regarding insurance coverage and a need for supplemental funds, </w:t>
      </w:r>
      <w:r w:rsidR="00DF0B31">
        <w:rPr>
          <w:sz w:val="24"/>
        </w:rPr>
        <w:t>Dr. Cox</w:t>
      </w:r>
      <w:r w:rsidR="00FA5638">
        <w:rPr>
          <w:sz w:val="24"/>
        </w:rPr>
        <w:t xml:space="preserve"> said negotiations are ongoing with their insurance carrier, and at this point it is impossible to determine the outcome and if more funds will be needed. She added that every effort is being made to</w:t>
      </w:r>
      <w:r w:rsidR="00080BCE">
        <w:rPr>
          <w:sz w:val="24"/>
        </w:rPr>
        <w:t xml:space="preserve"> maximize any insurance payouts, from their comprehensive insurance plan.</w:t>
      </w:r>
      <w:r w:rsidR="00FA5638">
        <w:rPr>
          <w:sz w:val="24"/>
        </w:rPr>
        <w:t xml:space="preserve"> </w:t>
      </w:r>
    </w:p>
    <w:p w:rsidR="00FA5638" w:rsidRDefault="00FA5638" w:rsidP="00DF2882">
      <w:pPr>
        <w:tabs>
          <w:tab w:val="left" w:pos="450"/>
        </w:tabs>
        <w:rPr>
          <w:sz w:val="24"/>
        </w:rPr>
      </w:pPr>
    </w:p>
    <w:p w:rsidR="00FA5638" w:rsidRDefault="005D538C" w:rsidP="00DF2882">
      <w:pPr>
        <w:tabs>
          <w:tab w:val="left" w:pos="450"/>
        </w:tabs>
        <w:rPr>
          <w:sz w:val="24"/>
        </w:rPr>
      </w:pPr>
      <w:r>
        <w:rPr>
          <w:sz w:val="24"/>
        </w:rPr>
        <w:tab/>
      </w:r>
      <w:r w:rsidR="00FA5638">
        <w:rPr>
          <w:sz w:val="24"/>
        </w:rPr>
        <w:t xml:space="preserve">In response to a question from Chair Tipton regarding a proposed new Livestock Center for Excellence, </w:t>
      </w:r>
      <w:r w:rsidR="00DF0B31">
        <w:rPr>
          <w:sz w:val="24"/>
        </w:rPr>
        <w:t>Dr. Cox</w:t>
      </w:r>
      <w:r w:rsidR="00FA5638">
        <w:rPr>
          <w:sz w:val="24"/>
        </w:rPr>
        <w:t xml:space="preserve"> said </w:t>
      </w:r>
      <w:r w:rsidR="0008593C">
        <w:rPr>
          <w:sz w:val="24"/>
        </w:rPr>
        <w:t>UK has</w:t>
      </w:r>
      <w:r w:rsidR="00FA5638">
        <w:rPr>
          <w:sz w:val="24"/>
        </w:rPr>
        <w:t xml:space="preserve"> partnered with the Kentucky Cattleman’s Association </w:t>
      </w:r>
      <w:r w:rsidR="0008593C">
        <w:rPr>
          <w:sz w:val="24"/>
        </w:rPr>
        <w:t>and will allocate</w:t>
      </w:r>
      <w:r w:rsidR="00FA5638">
        <w:rPr>
          <w:sz w:val="24"/>
        </w:rPr>
        <w:t xml:space="preserve"> land </w:t>
      </w:r>
      <w:r w:rsidR="0008593C">
        <w:rPr>
          <w:sz w:val="24"/>
        </w:rPr>
        <w:t xml:space="preserve">on the farm </w:t>
      </w:r>
      <w:r w:rsidR="00080BCE">
        <w:rPr>
          <w:sz w:val="24"/>
        </w:rPr>
        <w:t xml:space="preserve">in Woodford County for </w:t>
      </w:r>
      <w:r w:rsidR="00FA5638">
        <w:rPr>
          <w:sz w:val="24"/>
        </w:rPr>
        <w:t>Cattleman’s Association offices. The partnership includes a joint venture project, being led by the Cattleman’s Association and the Kentucky Livestock Coalition.</w:t>
      </w:r>
      <w:r w:rsidR="0008593C">
        <w:rPr>
          <w:sz w:val="24"/>
        </w:rPr>
        <w:t xml:space="preserve"> The project entails moving the UK meat lab facilities to that site, and design a pilot processing program to serve all the new beef producers and livestock processors. As a partner in the venture, UK will </w:t>
      </w:r>
      <w:r w:rsidR="004870A7">
        <w:rPr>
          <w:sz w:val="24"/>
        </w:rPr>
        <w:t xml:space="preserve">bring all the staff, expertise, and extension programs that can be offered at that facility. Chair Tipton asked if there would be an appropriation request from the General Assembly for the project, and </w:t>
      </w:r>
      <w:r w:rsidR="00DF0B31">
        <w:rPr>
          <w:sz w:val="24"/>
        </w:rPr>
        <w:t>Dr. Cox</w:t>
      </w:r>
      <w:r w:rsidR="004870A7">
        <w:rPr>
          <w:sz w:val="24"/>
        </w:rPr>
        <w:t xml:space="preserve"> said she does expect that to happen.</w:t>
      </w:r>
    </w:p>
    <w:p w:rsidR="00A86823" w:rsidRDefault="00A86823" w:rsidP="00DF2882">
      <w:pPr>
        <w:tabs>
          <w:tab w:val="left" w:pos="450"/>
        </w:tabs>
        <w:rPr>
          <w:sz w:val="24"/>
        </w:rPr>
      </w:pPr>
    </w:p>
    <w:p w:rsidR="004870A7" w:rsidRDefault="005D538C" w:rsidP="00DF2882">
      <w:pPr>
        <w:tabs>
          <w:tab w:val="left" w:pos="450"/>
        </w:tabs>
        <w:rPr>
          <w:sz w:val="24"/>
        </w:rPr>
      </w:pPr>
      <w:r>
        <w:rPr>
          <w:sz w:val="24"/>
        </w:rPr>
        <w:tab/>
      </w:r>
      <w:r w:rsidR="004870A7">
        <w:rPr>
          <w:sz w:val="24"/>
        </w:rPr>
        <w:t xml:space="preserve">In response to a question from Chair Tipton regarding the Bucks to Brains program, Mr. Hardin said </w:t>
      </w:r>
      <w:r w:rsidR="00DF0B31">
        <w:rPr>
          <w:sz w:val="24"/>
        </w:rPr>
        <w:t>the last allocation given to that program was a total of $60 million in 2008-2010. Chair Tipton commented that the need for funds is great.</w:t>
      </w:r>
    </w:p>
    <w:p w:rsidR="004870A7" w:rsidRDefault="004870A7" w:rsidP="00DF2882">
      <w:pPr>
        <w:tabs>
          <w:tab w:val="left" w:pos="450"/>
        </w:tabs>
        <w:rPr>
          <w:sz w:val="24"/>
        </w:rPr>
      </w:pPr>
    </w:p>
    <w:p w:rsidR="00A86823" w:rsidRDefault="005D538C" w:rsidP="00DF2882">
      <w:pPr>
        <w:tabs>
          <w:tab w:val="left" w:pos="450"/>
        </w:tabs>
        <w:rPr>
          <w:sz w:val="24"/>
        </w:rPr>
      </w:pPr>
      <w:r>
        <w:rPr>
          <w:sz w:val="24"/>
        </w:rPr>
        <w:tab/>
      </w:r>
      <w:r w:rsidR="00A86823">
        <w:rPr>
          <w:sz w:val="24"/>
        </w:rPr>
        <w:t xml:space="preserve">In response to a </w:t>
      </w:r>
      <w:r w:rsidR="001B3B83">
        <w:rPr>
          <w:sz w:val="24"/>
        </w:rPr>
        <w:t>quest</w:t>
      </w:r>
      <w:r w:rsidR="00FA5638">
        <w:rPr>
          <w:sz w:val="24"/>
        </w:rPr>
        <w:t>ion from Representative Fleming regarding</w:t>
      </w:r>
      <w:r w:rsidR="004870A7">
        <w:rPr>
          <w:sz w:val="24"/>
        </w:rPr>
        <w:t xml:space="preserve"> </w:t>
      </w:r>
      <w:r w:rsidR="00DF0B31">
        <w:rPr>
          <w:sz w:val="24"/>
        </w:rPr>
        <w:t xml:space="preserve">regenerative farming, Dr. Cox said they are involved in partnerships with companies that grow crops indoors using hydroponics systems, which can operate continually. She added that they are responding to their constituents by increasing their programs, which includes the recovery of nutrients in the soils through rest periods, for example. </w:t>
      </w:r>
    </w:p>
    <w:p w:rsidR="00DF2882" w:rsidRDefault="00DF2882" w:rsidP="00DF2882">
      <w:pPr>
        <w:tabs>
          <w:tab w:val="left" w:pos="450"/>
        </w:tabs>
        <w:rPr>
          <w:sz w:val="24"/>
        </w:rPr>
      </w:pPr>
    </w:p>
    <w:p w:rsidR="00DF2882" w:rsidRDefault="00DF2882" w:rsidP="00DF2882">
      <w:pPr>
        <w:tabs>
          <w:tab w:val="left" w:pos="450"/>
        </w:tabs>
        <w:rPr>
          <w:sz w:val="24"/>
        </w:rPr>
      </w:pPr>
      <w:r>
        <w:rPr>
          <w:b/>
          <w:sz w:val="24"/>
        </w:rPr>
        <w:t xml:space="preserve">Adjournment </w:t>
      </w:r>
    </w:p>
    <w:p w:rsidR="003444BD" w:rsidRDefault="005D538C" w:rsidP="00DF2882">
      <w:pPr>
        <w:tabs>
          <w:tab w:val="left" w:pos="450"/>
        </w:tabs>
        <w:rPr>
          <w:sz w:val="24"/>
        </w:rPr>
      </w:pPr>
      <w:r>
        <w:rPr>
          <w:sz w:val="24"/>
        </w:rPr>
        <w:tab/>
      </w:r>
      <w:r w:rsidR="001B3B83">
        <w:rPr>
          <w:sz w:val="24"/>
        </w:rPr>
        <w:t>There being no further business</w:t>
      </w:r>
      <w:r w:rsidR="00DF0B31">
        <w:rPr>
          <w:sz w:val="24"/>
        </w:rPr>
        <w:t xml:space="preserve"> before the subcommittee</w:t>
      </w:r>
      <w:r w:rsidR="001B3B83">
        <w:rPr>
          <w:sz w:val="24"/>
        </w:rPr>
        <w:t xml:space="preserve">, the meeting adjourned at 10:51 </w:t>
      </w:r>
      <w:r w:rsidR="00080BCE">
        <w:rPr>
          <w:sz w:val="24"/>
        </w:rPr>
        <w:t>a.m</w:t>
      </w:r>
      <w:r w:rsidR="001B3B83">
        <w:rPr>
          <w:sz w:val="24"/>
        </w:rPr>
        <w:t>.</w:t>
      </w:r>
    </w:p>
    <w:sectPr w:rsidR="003444BD"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BQITC0sLY2NjEyUdpeDU4uLM/DyQAsNaAFZQFiMsAAAA"/>
  </w:docVars>
  <w:rsids>
    <w:rsidRoot w:val="009966DB"/>
    <w:rsid w:val="00080BCE"/>
    <w:rsid w:val="0008593C"/>
    <w:rsid w:val="000D599A"/>
    <w:rsid w:val="001B3B83"/>
    <w:rsid w:val="002F65E0"/>
    <w:rsid w:val="003444BD"/>
    <w:rsid w:val="003F2D91"/>
    <w:rsid w:val="00411752"/>
    <w:rsid w:val="0041209E"/>
    <w:rsid w:val="004870A7"/>
    <w:rsid w:val="005112CB"/>
    <w:rsid w:val="005B4266"/>
    <w:rsid w:val="005D538C"/>
    <w:rsid w:val="00651C76"/>
    <w:rsid w:val="00682653"/>
    <w:rsid w:val="00731E32"/>
    <w:rsid w:val="009966DB"/>
    <w:rsid w:val="009978D4"/>
    <w:rsid w:val="00A07F0A"/>
    <w:rsid w:val="00A86823"/>
    <w:rsid w:val="00C0780F"/>
    <w:rsid w:val="00DE5B08"/>
    <w:rsid w:val="00DF0B31"/>
    <w:rsid w:val="00DF2882"/>
    <w:rsid w:val="00E10B7A"/>
    <w:rsid w:val="00E60EED"/>
    <w:rsid w:val="00F62D14"/>
    <w:rsid w:val="00FA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9A3BCD-0821-4518-B7C9-78F70442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Sess_minutes.dotm</Template>
  <TotalTime>905</TotalTime>
  <Pages>2</Pages>
  <Words>803</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Elam, Amie (LRC)</dc:creator>
  <cp:keywords/>
  <cp:lastModifiedBy>Elam, Amie (LRC)</cp:lastModifiedBy>
  <cp:revision>3</cp:revision>
  <cp:lastPrinted>2022-01-25T13:49:00Z</cp:lastPrinted>
  <dcterms:created xsi:type="dcterms:W3CDTF">2022-01-24T22:46:00Z</dcterms:created>
  <dcterms:modified xsi:type="dcterms:W3CDTF">2022-01-25T13:52:00Z</dcterms:modified>
</cp:coreProperties>
</file>