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Progress and Impact Report - Prepared September 2025</w:t>
      </w:r>
    </w:p>
    <w:p w:rsidR="00000000" w:rsidDel="00000000" w:rsidP="00000000" w:rsidRDefault="00000000" w:rsidRPr="00000000" w14:paraId="00000002">
      <w:pPr>
        <w:pStyle w:val="Heading2"/>
        <w:spacing w:after="0" w:before="200" w:line="276" w:lineRule="auto"/>
        <w:rPr>
          <w:rFonts w:ascii="Roboto" w:cs="Roboto" w:eastAsia="Roboto" w:hAnsi="Roboto"/>
          <w:b w:val="1"/>
          <w:color w:val="4f81bd"/>
          <w:sz w:val="22"/>
          <w:szCs w:val="22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color w:val="4f81bd"/>
          <w:sz w:val="22"/>
          <w:szCs w:val="22"/>
          <w:u w:val="single"/>
          <w:rtl w:val="0"/>
        </w:rPr>
        <w:t xml:space="preserve">About BADC</w:t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Bluegrass AgTech Development Corp is a nonprofit partnership created by the Lexington-Fayette Urban County Government, the Kentucky Department of Agriculture, the University of Kentucky Martin-Gatton College of Agriculture, and Alltech. Its mission is to grow Kentucky’s agtech ecosystem, strengthen farm profitability, and position Kentucky as a national leader in agricultural innovation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Roboto" w:cs="Roboto" w:eastAsia="Roboto" w:hAnsi="Roboto"/>
          <w:b w:val="1"/>
          <w:color w:val="4f81bd"/>
        </w:rPr>
      </w:pPr>
      <w:r w:rsidDel="00000000" w:rsidR="00000000" w:rsidRPr="00000000">
        <w:rPr>
          <w:rFonts w:ascii="Roboto" w:cs="Roboto" w:eastAsia="Roboto" w:hAnsi="Roboto"/>
          <w:b w:val="1"/>
          <w:color w:val="4f81bd"/>
          <w:rtl w:val="0"/>
        </w:rPr>
        <w:t xml:space="preserve">Goals and Vision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Build an AgTech Innovation Ecosystem: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Foster collaboration among universities, startups, industry, and producers.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Support Farmers: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Create reliable new income streams, lower production costs, and open new markets.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Grow the Economy: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Leverage public investment into private follow-on funding, jobs, and business growth.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Talent and Workforce: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Develop the next generation of agtech leaders and career pathways.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0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Long-Term Vision: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Position Kentucky as a national leader for agtech business, attract major companies, and establish hubs for research, innovation, and farmer-led technology adoption.</w:t>
      </w:r>
    </w:p>
    <w:p w:rsidR="00000000" w:rsidDel="00000000" w:rsidP="00000000" w:rsidRDefault="00000000" w:rsidRPr="00000000" w14:paraId="0000000A">
      <w:pPr>
        <w:pStyle w:val="Heading2"/>
        <w:spacing w:after="0" w:before="200" w:line="276" w:lineRule="auto"/>
        <w:rPr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color w:val="4f81bd"/>
          <w:sz w:val="22"/>
          <w:szCs w:val="22"/>
          <w:u w:val="single"/>
          <w:rtl w:val="0"/>
        </w:rPr>
        <w:t xml:space="preserve">Challenge Grant Awardee Farmer Impact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36 Kentucky farms engaged or contracted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1,600 acres impacted through new crops and livestock projects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More than $380,000 in direct payments to Kentucky farmers and KY-grown inputs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Key Benefits to Farmers: New, reliable income streams through crop contracts; Crop diversification improving soil health and reducing risk; Lower livestock costs via on-farm diagnostic tools; Emerging market opportunities for corn, biopesticides, and organic fertilizers</w:t>
      </w:r>
    </w:p>
    <w:p w:rsidR="00000000" w:rsidDel="00000000" w:rsidP="00000000" w:rsidRDefault="00000000" w:rsidRPr="00000000" w14:paraId="0000000F">
      <w:pPr>
        <w:pStyle w:val="Heading3"/>
        <w:spacing w:after="0" w:before="200" w:line="276" w:lineRule="auto"/>
        <w:rPr>
          <w:rFonts w:ascii="Roboto" w:cs="Roboto" w:eastAsia="Roboto" w:hAnsi="Roboto"/>
          <w:b w:val="1"/>
          <w:color w:val="4f81bd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color w:val="4f81bd"/>
          <w:sz w:val="22"/>
          <w:szCs w:val="22"/>
          <w:rtl w:val="0"/>
        </w:rPr>
        <w:t xml:space="preserve">Examples by Company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Hempwood (Murray, KY) :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Contracting hemp acreage, steady contracts, supports farm jobs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RedLeaf Biologics (Lexington, KY) :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Leasing sorghum acres, strong agronomic project with connection to new markets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Sunflower Fuels (Lexington, KY):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Contracts ground in Eastern Kentucky for perennial energy crops, payments expanding with acreage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Parasight Systems (Lexington, KY):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Livestock diagnostic tools cutting vet costs and improving herd health decisions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Spirited (Lexington, KY):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Developing a process to expand Kentucky corn purchases and return organic fertilizer to farms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Lepidext (Lexington, KY):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Biological pest control to reduce insecticide use and protect yields in grain crops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0" w:line="276" w:lineRule="auto"/>
        <w:ind w:left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Iristrac (Prospect, KY):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Iris identification system improving traceability for Kentucky’s equine sector</w:t>
      </w:r>
    </w:p>
    <w:p w:rsidR="00000000" w:rsidDel="00000000" w:rsidP="00000000" w:rsidRDefault="00000000" w:rsidRPr="00000000" w14:paraId="00000017">
      <w:pPr>
        <w:pStyle w:val="Heading2"/>
        <w:spacing w:after="0" w:before="200" w:line="276" w:lineRule="auto"/>
        <w:rPr>
          <w:rFonts w:ascii="Roboto" w:cs="Roboto" w:eastAsia="Roboto" w:hAnsi="Roboto"/>
          <w:b w:val="1"/>
          <w:color w:val="4f81bd"/>
          <w:sz w:val="22"/>
          <w:szCs w:val="22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color w:val="4f81bd"/>
          <w:sz w:val="22"/>
          <w:szCs w:val="22"/>
          <w:u w:val="single"/>
          <w:rtl w:val="0"/>
        </w:rPr>
        <w:t xml:space="preserve">Challenge Grant Awardee Economic and Ecosystem Impact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$6.9 million in follow-on investment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attracted by Round 1 grantees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36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56.5 Kentucky jobs supported; 12.5 new jobs created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New facilities and expansions: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Hempwood factory, Parasight diagnostic units in market, Sunflower Fuels personnel and accelerator placements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Diversified technology sectors: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Sustainable fuels, biological pest control, renewable materials, equine data, plant-based inputs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Round 2 Awardees:</w:t>
      </w:r>
    </w:p>
    <w:p w:rsidR="00000000" w:rsidDel="00000000" w:rsidP="00000000" w:rsidRDefault="00000000" w:rsidRPr="00000000" w14:paraId="0000001D">
      <w:pPr>
        <w:spacing w:line="276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-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Santerre International (Paducah, KY):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Turning invasive Asian carp into fertilizers used in organic crop production.</w:t>
      </w:r>
    </w:p>
    <w:p w:rsidR="00000000" w:rsidDel="00000000" w:rsidP="00000000" w:rsidRDefault="00000000" w:rsidRPr="00000000" w14:paraId="0000001E">
      <w:pPr>
        <w:spacing w:line="276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-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ORB Technologies (Lexington, KY):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Using grass crops to create bio-composite building blocks for sustainable construction.</w:t>
      </w:r>
    </w:p>
    <w:p w:rsidR="00000000" w:rsidDel="00000000" w:rsidP="00000000" w:rsidRDefault="00000000" w:rsidRPr="00000000" w14:paraId="0000001F">
      <w:pPr>
        <w:spacing w:after="200" w:line="276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-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Kanbol, Inc. (Auburn, KY):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Converting corn stover from Kentucky’s bourbon and grain supply chain into compostable food containers.</w:t>
      </w:r>
    </w:p>
    <w:p w:rsidR="00000000" w:rsidDel="00000000" w:rsidP="00000000" w:rsidRDefault="00000000" w:rsidRPr="00000000" w14:paraId="00000020">
      <w:pPr>
        <w:pStyle w:val="Heading2"/>
        <w:spacing w:after="0" w:before="200" w:line="276" w:lineRule="auto"/>
        <w:rPr>
          <w:rFonts w:ascii="Roboto" w:cs="Roboto" w:eastAsia="Roboto" w:hAnsi="Roboto"/>
          <w:b w:val="1"/>
          <w:color w:val="4f81bd"/>
          <w:sz w:val="22"/>
          <w:szCs w:val="22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color w:val="4f81bd"/>
          <w:sz w:val="22"/>
          <w:szCs w:val="22"/>
          <w:u w:val="single"/>
          <w:rtl w:val="0"/>
        </w:rPr>
        <w:t xml:space="preserve">Strategic Plan and Roadmap</w:t>
      </w:r>
    </w:p>
    <w:p w:rsidR="00000000" w:rsidDel="00000000" w:rsidP="00000000" w:rsidRDefault="00000000" w:rsidRPr="00000000" w14:paraId="00000021">
      <w:pPr>
        <w:pStyle w:val="Heading3"/>
        <w:spacing w:after="0" w:before="0" w:line="276" w:lineRule="auto"/>
        <w:rPr>
          <w:rFonts w:ascii="Roboto" w:cs="Roboto" w:eastAsia="Roboto" w:hAnsi="Roboto"/>
          <w:b w:val="1"/>
          <w:color w:val="4f81bd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color w:val="4f81bd"/>
          <w:sz w:val="22"/>
          <w:szCs w:val="22"/>
          <w:rtl w:val="0"/>
        </w:rPr>
        <w:t xml:space="preserve">Accomplishments to Date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76" w:lineRule="auto"/>
        <w:ind w:left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$925,000 in direct grants leveraged into $6.9M+ follow-on investment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76" w:lineRule="auto"/>
        <w:ind w:left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Two rounds of awardees spanning fuels, bio-based products, precision ag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76" w:lineRule="auto"/>
        <w:ind w:left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Partnerships with statewide agriculture organizations and founding partners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spacing w:after="0" w:before="200" w:line="276" w:lineRule="auto"/>
        <w:rPr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color w:val="4f81bd"/>
          <w:sz w:val="22"/>
          <w:szCs w:val="22"/>
          <w:rtl w:val="0"/>
        </w:rPr>
        <w:t xml:space="preserve">Strategic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="276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u w:val="single"/>
          <w:rtl w:val="0"/>
        </w:rPr>
        <w:t xml:space="preserve">Year 1 (2025–26):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Strengthen engagement and communications; host AgTech showcases (UK &amp; Murray State); expand Challenge Grant outreach; begin Farmer Innovation Network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="276" w:lineRule="auto"/>
        <w:ind w:left="0" w:firstLine="0"/>
        <w:rPr>
          <w:rFonts w:ascii="Roboto" w:cs="Roboto" w:eastAsia="Roboto" w:hAnsi="Roboto"/>
          <w:b w:val="1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u w:val="single"/>
          <w:rtl w:val="0"/>
        </w:rPr>
        <w:t xml:space="preserve">Years 2–3 (2026–28):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Formalize partnerships (AgLaunch, VC, Innovation Hubs); establish AgTech incubator; build leadership cohort &amp; alumni network; launch KY AgTech Summit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="276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u w:val="single"/>
          <w:rtl w:val="0"/>
        </w:rPr>
        <w:t xml:space="preserve">Years 4–5 (2028–30):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Position KY among top U.S. AgTech hubs; expand Challenge Grant portfolio &amp; farmer adoption; develop AgTech Innovation Hub/research farm; grow Farmer Innovation Network; attract major AgTech R&amp;D facilities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3073400" cy="114300"/>
          <wp:effectExtent b="0" l="0" r="0" t="0"/>
          <wp:docPr descr="Graphic 1, Picture" id="3" name="image1.png"/>
          <a:graphic>
            <a:graphicData uri="http://schemas.openxmlformats.org/drawingml/2006/picture">
              <pic:pic>
                <pic:nvPicPr>
                  <pic:cNvPr descr="Graphic 1, Pictur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73400" cy="114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-866774</wp:posOffset>
          </wp:positionH>
          <wp:positionV relativeFrom="paragraph">
            <wp:posOffset>-152399</wp:posOffset>
          </wp:positionV>
          <wp:extent cx="628208" cy="966474"/>
          <wp:effectExtent b="0" l="0" r="0" t="0"/>
          <wp:wrapNone/>
          <wp:docPr descr="Graphic 1, Picture" id="1" name="image2.png"/>
          <a:graphic>
            <a:graphicData uri="http://schemas.openxmlformats.org/drawingml/2006/picture">
              <pic:pic>
                <pic:nvPicPr>
                  <pic:cNvPr descr="Graphic 1, Picture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8208" cy="96647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-219074</wp:posOffset>
          </wp:positionV>
          <wp:extent cx="2875421" cy="1262063"/>
          <wp:effectExtent b="0" l="0" r="0" t="0"/>
          <wp:wrapNone/>
          <wp:docPr descr="Group 1, Grouped object" id="2" name="image3.png"/>
          <a:graphic>
            <a:graphicData uri="http://schemas.openxmlformats.org/drawingml/2006/picture">
              <pic:pic>
                <pic:nvPicPr>
                  <pic:cNvPr descr="Group 1, Grouped object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75421" cy="12620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ind w:left="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rPr>
        <w:color w:val="45818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■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●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○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■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●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○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■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