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5" w:rsidRDefault="00D114EA">
      <w:pPr>
        <w:rPr>
          <w:sz w:val="24"/>
          <w:szCs w:val="24"/>
        </w:rPr>
      </w:pPr>
      <w:r>
        <w:rPr>
          <w:sz w:val="24"/>
          <w:szCs w:val="24"/>
        </w:rPr>
        <w:t>2019 Kentucky Career &amp; Technical Education Task Force</w:t>
      </w:r>
    </w:p>
    <w:p w:rsidR="00D114EA" w:rsidRDefault="00D114EA">
      <w:pPr>
        <w:rPr>
          <w:sz w:val="24"/>
          <w:szCs w:val="24"/>
        </w:rPr>
      </w:pPr>
      <w:r>
        <w:rPr>
          <w:sz w:val="24"/>
          <w:szCs w:val="24"/>
        </w:rPr>
        <w:t>Interim Meeting Overview</w:t>
      </w:r>
    </w:p>
    <w:p w:rsidR="00D114EA" w:rsidRDefault="00D114EA">
      <w:pPr>
        <w:rPr>
          <w:sz w:val="24"/>
          <w:szCs w:val="24"/>
        </w:rPr>
      </w:pPr>
    </w:p>
    <w:p w:rsidR="00D114EA" w:rsidRPr="00347AE8" w:rsidRDefault="00D114EA">
      <w:pPr>
        <w:rPr>
          <w:sz w:val="24"/>
          <w:szCs w:val="24"/>
          <w:u w:val="single"/>
        </w:rPr>
      </w:pPr>
      <w:r w:rsidRPr="00347AE8">
        <w:rPr>
          <w:sz w:val="24"/>
          <w:szCs w:val="24"/>
          <w:u w:val="single"/>
        </w:rPr>
        <w:t>June 18</w:t>
      </w:r>
      <w:r w:rsidR="0022606F" w:rsidRPr="00347AE8">
        <w:rPr>
          <w:sz w:val="24"/>
          <w:szCs w:val="24"/>
          <w:u w:val="single"/>
          <w:vertAlign w:val="superscript"/>
        </w:rPr>
        <w:t>th</w:t>
      </w:r>
    </w:p>
    <w:p w:rsidR="00D114EA" w:rsidRPr="00347AE8" w:rsidRDefault="00D114EA" w:rsidP="00347AE8">
      <w:pPr>
        <w:rPr>
          <w:b/>
          <w:sz w:val="24"/>
          <w:szCs w:val="24"/>
        </w:rPr>
      </w:pPr>
      <w:r w:rsidRPr="00347AE8">
        <w:rPr>
          <w:b/>
          <w:sz w:val="24"/>
          <w:szCs w:val="24"/>
        </w:rPr>
        <w:t>Organizational meeting to discuss task force object</w:t>
      </w:r>
      <w:r w:rsidR="00347AE8">
        <w:rPr>
          <w:b/>
          <w:sz w:val="24"/>
          <w:szCs w:val="24"/>
        </w:rPr>
        <w:t>ives and possible agenda topics</w:t>
      </w:r>
    </w:p>
    <w:p w:rsidR="0022606F" w:rsidRDefault="0022606F" w:rsidP="0022606F">
      <w:pPr>
        <w:rPr>
          <w:sz w:val="24"/>
          <w:szCs w:val="24"/>
        </w:rPr>
      </w:pPr>
    </w:p>
    <w:p w:rsidR="0022606F" w:rsidRPr="00347AE8" w:rsidRDefault="0022606F" w:rsidP="0022606F">
      <w:pPr>
        <w:rPr>
          <w:sz w:val="24"/>
          <w:szCs w:val="24"/>
          <w:u w:val="single"/>
        </w:rPr>
      </w:pPr>
      <w:r w:rsidRPr="00347AE8">
        <w:rPr>
          <w:sz w:val="24"/>
          <w:szCs w:val="24"/>
          <w:u w:val="single"/>
        </w:rPr>
        <w:t>July 10</w:t>
      </w:r>
      <w:r w:rsidRPr="00347AE8">
        <w:rPr>
          <w:sz w:val="24"/>
          <w:szCs w:val="24"/>
          <w:u w:val="single"/>
          <w:vertAlign w:val="superscript"/>
        </w:rPr>
        <w:t>th</w:t>
      </w:r>
    </w:p>
    <w:p w:rsidR="0022606F" w:rsidRPr="00347AE8" w:rsidRDefault="0022606F" w:rsidP="00347AE8">
      <w:pPr>
        <w:rPr>
          <w:b/>
          <w:sz w:val="24"/>
          <w:szCs w:val="24"/>
        </w:rPr>
      </w:pPr>
      <w:r w:rsidRPr="00347AE8">
        <w:rPr>
          <w:b/>
          <w:sz w:val="24"/>
          <w:szCs w:val="24"/>
        </w:rPr>
        <w:t xml:space="preserve">Overview of </w:t>
      </w:r>
      <w:r w:rsidR="005317AC">
        <w:rPr>
          <w:b/>
          <w:sz w:val="24"/>
          <w:szCs w:val="24"/>
        </w:rPr>
        <w:t>Kentucky’s</w:t>
      </w:r>
      <w:r w:rsidRPr="00347AE8">
        <w:rPr>
          <w:b/>
          <w:sz w:val="24"/>
          <w:szCs w:val="24"/>
        </w:rPr>
        <w:t xml:space="preserve"> </w:t>
      </w:r>
      <w:proofErr w:type="spellStart"/>
      <w:r w:rsidR="00347AE8" w:rsidRPr="00347AE8">
        <w:rPr>
          <w:b/>
          <w:sz w:val="24"/>
          <w:szCs w:val="24"/>
        </w:rPr>
        <w:t>CTE</w:t>
      </w:r>
      <w:proofErr w:type="spellEnd"/>
      <w:r w:rsidRPr="00347AE8">
        <w:rPr>
          <w:b/>
          <w:sz w:val="24"/>
          <w:szCs w:val="24"/>
        </w:rPr>
        <w:t xml:space="preserve"> system</w:t>
      </w:r>
    </w:p>
    <w:p w:rsidR="0001579F" w:rsidRDefault="0022606F" w:rsidP="0001579F">
      <w:pPr>
        <w:rPr>
          <w:sz w:val="24"/>
          <w:szCs w:val="24"/>
        </w:rPr>
      </w:pPr>
      <w:r w:rsidRPr="0001579F">
        <w:rPr>
          <w:sz w:val="24"/>
          <w:szCs w:val="24"/>
        </w:rPr>
        <w:t>Presenters</w:t>
      </w:r>
    </w:p>
    <w:p w:rsidR="0022606F" w:rsidRPr="0001579F" w:rsidRDefault="0022606F" w:rsidP="0001579F">
      <w:pPr>
        <w:pStyle w:val="ListParagraph"/>
        <w:numPr>
          <w:ilvl w:val="0"/>
          <w:numId w:val="2"/>
        </w:numPr>
        <w:rPr>
          <w:sz w:val="24"/>
          <w:szCs w:val="24"/>
        </w:rPr>
      </w:pPr>
      <w:r w:rsidRPr="0001579F">
        <w:rPr>
          <w:sz w:val="24"/>
          <w:szCs w:val="24"/>
        </w:rPr>
        <w:t>David Horseman, Associate Commissioner</w:t>
      </w:r>
    </w:p>
    <w:p w:rsidR="0022606F" w:rsidRPr="0001579F" w:rsidRDefault="0022606F" w:rsidP="0001579F">
      <w:pPr>
        <w:ind w:firstLine="720"/>
        <w:rPr>
          <w:sz w:val="24"/>
          <w:szCs w:val="24"/>
        </w:rPr>
      </w:pPr>
      <w:r w:rsidRPr="0001579F">
        <w:rPr>
          <w:sz w:val="24"/>
          <w:szCs w:val="24"/>
        </w:rPr>
        <w:t>Leslie Slaughter, Executive Advisor</w:t>
      </w:r>
    </w:p>
    <w:p w:rsidR="0022606F" w:rsidRPr="0001579F" w:rsidRDefault="0022606F" w:rsidP="0001579F">
      <w:pPr>
        <w:ind w:firstLine="720"/>
        <w:rPr>
          <w:sz w:val="24"/>
          <w:szCs w:val="24"/>
        </w:rPr>
      </w:pPr>
      <w:r w:rsidRPr="0001579F">
        <w:rPr>
          <w:sz w:val="24"/>
          <w:szCs w:val="24"/>
        </w:rPr>
        <w:t>Office of Career and Technical Education and Student Transition</w:t>
      </w:r>
    </w:p>
    <w:p w:rsidR="0022606F" w:rsidRPr="0001579F" w:rsidRDefault="0022606F" w:rsidP="0001579F">
      <w:pPr>
        <w:ind w:firstLine="720"/>
        <w:rPr>
          <w:sz w:val="24"/>
          <w:szCs w:val="24"/>
        </w:rPr>
      </w:pPr>
      <w:r w:rsidRPr="0001579F">
        <w:rPr>
          <w:sz w:val="24"/>
          <w:szCs w:val="24"/>
        </w:rPr>
        <w:t>Kentucky Department of Education</w:t>
      </w:r>
    </w:p>
    <w:p w:rsidR="0001579F" w:rsidRDefault="0022606F" w:rsidP="0001579F">
      <w:pPr>
        <w:rPr>
          <w:sz w:val="24"/>
          <w:szCs w:val="24"/>
        </w:rPr>
      </w:pPr>
      <w:r w:rsidRPr="0001579F">
        <w:rPr>
          <w:sz w:val="24"/>
          <w:szCs w:val="24"/>
        </w:rPr>
        <w:t>Key Points</w:t>
      </w:r>
    </w:p>
    <w:p w:rsidR="0001579F" w:rsidRDefault="0022606F" w:rsidP="0001579F">
      <w:pPr>
        <w:pStyle w:val="ListParagraph"/>
        <w:numPr>
          <w:ilvl w:val="0"/>
          <w:numId w:val="2"/>
        </w:numPr>
        <w:rPr>
          <w:sz w:val="24"/>
          <w:szCs w:val="24"/>
        </w:rPr>
      </w:pPr>
      <w:r w:rsidRPr="0001579F">
        <w:rPr>
          <w:sz w:val="24"/>
          <w:szCs w:val="24"/>
        </w:rPr>
        <w:t xml:space="preserve">67% of Kentucky’s high school students are enrolled in </w:t>
      </w:r>
      <w:proofErr w:type="spellStart"/>
      <w:r w:rsidRPr="0001579F">
        <w:rPr>
          <w:sz w:val="24"/>
          <w:szCs w:val="24"/>
        </w:rPr>
        <w:t>CTE</w:t>
      </w:r>
      <w:proofErr w:type="spellEnd"/>
      <w:r w:rsidRPr="0001579F">
        <w:rPr>
          <w:sz w:val="24"/>
          <w:szCs w:val="24"/>
        </w:rPr>
        <w:t xml:space="preserve"> pathways</w:t>
      </w:r>
      <w:r w:rsidR="000565F7">
        <w:rPr>
          <w:sz w:val="24"/>
          <w:szCs w:val="24"/>
        </w:rPr>
        <w:t>.</w:t>
      </w:r>
    </w:p>
    <w:p w:rsidR="0001579F" w:rsidRDefault="008B584C" w:rsidP="0001579F">
      <w:pPr>
        <w:pStyle w:val="ListParagraph"/>
        <w:numPr>
          <w:ilvl w:val="0"/>
          <w:numId w:val="2"/>
        </w:numPr>
        <w:rPr>
          <w:sz w:val="24"/>
          <w:szCs w:val="24"/>
        </w:rPr>
      </w:pPr>
      <w:r w:rsidRPr="0001579F">
        <w:rPr>
          <w:sz w:val="24"/>
          <w:szCs w:val="24"/>
        </w:rPr>
        <w:t xml:space="preserve">KDE operates 53 Area Technology Centers and the state currently provides supplemental state funding to 42 locally-operated technology centers (called </w:t>
      </w:r>
      <w:proofErr w:type="spellStart"/>
      <w:r w:rsidRPr="0001579F">
        <w:rPr>
          <w:sz w:val="24"/>
          <w:szCs w:val="24"/>
        </w:rPr>
        <w:t>LAVECs</w:t>
      </w:r>
      <w:proofErr w:type="spellEnd"/>
      <w:r w:rsidRPr="0001579F">
        <w:rPr>
          <w:sz w:val="24"/>
          <w:szCs w:val="24"/>
        </w:rPr>
        <w:t xml:space="preserve">). There are 220 other </w:t>
      </w:r>
      <w:proofErr w:type="spellStart"/>
      <w:r w:rsidRPr="0001579F">
        <w:rPr>
          <w:sz w:val="24"/>
          <w:szCs w:val="24"/>
        </w:rPr>
        <w:t>CTE</w:t>
      </w:r>
      <w:proofErr w:type="spellEnd"/>
      <w:r w:rsidRPr="0001579F">
        <w:rPr>
          <w:sz w:val="24"/>
          <w:szCs w:val="24"/>
        </w:rPr>
        <w:t xml:space="preserve"> program locations that receive no supplemental state funding.</w:t>
      </w:r>
    </w:p>
    <w:p w:rsidR="0069400B" w:rsidRDefault="0069400B" w:rsidP="0001579F">
      <w:pPr>
        <w:pStyle w:val="ListParagraph"/>
        <w:numPr>
          <w:ilvl w:val="0"/>
          <w:numId w:val="2"/>
        </w:numPr>
        <w:rPr>
          <w:sz w:val="24"/>
          <w:szCs w:val="24"/>
        </w:rPr>
      </w:pPr>
      <w:r>
        <w:rPr>
          <w:sz w:val="24"/>
          <w:szCs w:val="24"/>
        </w:rPr>
        <w:t xml:space="preserve">The New Skills for Youth Grant is being used to move toward a regionalized governance and delivery of </w:t>
      </w:r>
      <w:proofErr w:type="spellStart"/>
      <w:r>
        <w:rPr>
          <w:sz w:val="24"/>
          <w:szCs w:val="24"/>
        </w:rPr>
        <w:t>CTE</w:t>
      </w:r>
      <w:proofErr w:type="spellEnd"/>
      <w:r>
        <w:rPr>
          <w:sz w:val="24"/>
          <w:szCs w:val="24"/>
        </w:rPr>
        <w:t xml:space="preserve"> through accelerated career academies.</w:t>
      </w:r>
    </w:p>
    <w:p w:rsidR="0069400B" w:rsidRDefault="0069400B" w:rsidP="0001579F">
      <w:pPr>
        <w:pStyle w:val="ListParagraph"/>
        <w:numPr>
          <w:ilvl w:val="0"/>
          <w:numId w:val="2"/>
        </w:numPr>
        <w:rPr>
          <w:sz w:val="24"/>
          <w:szCs w:val="24"/>
        </w:rPr>
      </w:pPr>
      <w:r>
        <w:rPr>
          <w:sz w:val="24"/>
          <w:szCs w:val="24"/>
        </w:rPr>
        <w:t xml:space="preserve">KDE envisions a system in which </w:t>
      </w:r>
      <w:proofErr w:type="spellStart"/>
      <w:r w:rsidR="0096156C">
        <w:rPr>
          <w:sz w:val="24"/>
          <w:szCs w:val="24"/>
        </w:rPr>
        <w:t>CTE</w:t>
      </w:r>
      <w:proofErr w:type="spellEnd"/>
      <w:r w:rsidR="0096156C">
        <w:rPr>
          <w:sz w:val="24"/>
          <w:szCs w:val="24"/>
        </w:rPr>
        <w:t xml:space="preserve"> </w:t>
      </w:r>
      <w:r>
        <w:rPr>
          <w:sz w:val="24"/>
          <w:szCs w:val="24"/>
        </w:rPr>
        <w:t xml:space="preserve">resources are combined and shared </w:t>
      </w:r>
      <w:r w:rsidR="00A14825">
        <w:rPr>
          <w:sz w:val="24"/>
          <w:szCs w:val="24"/>
        </w:rPr>
        <w:t xml:space="preserve">through schools and districts partnering with </w:t>
      </w:r>
      <w:r w:rsidR="0096156C">
        <w:rPr>
          <w:sz w:val="24"/>
          <w:szCs w:val="24"/>
        </w:rPr>
        <w:t>each other and business and industry</w:t>
      </w:r>
      <w:r w:rsidR="005317AC">
        <w:rPr>
          <w:sz w:val="24"/>
          <w:szCs w:val="24"/>
        </w:rPr>
        <w:t xml:space="preserve">, in particular by using </w:t>
      </w:r>
      <w:proofErr w:type="spellStart"/>
      <w:r>
        <w:rPr>
          <w:sz w:val="24"/>
          <w:szCs w:val="24"/>
        </w:rPr>
        <w:t>interlocal</w:t>
      </w:r>
      <w:proofErr w:type="spellEnd"/>
      <w:r>
        <w:rPr>
          <w:sz w:val="24"/>
          <w:szCs w:val="24"/>
        </w:rPr>
        <w:t xml:space="preserve"> agreements to provide access to </w:t>
      </w:r>
      <w:proofErr w:type="spellStart"/>
      <w:r>
        <w:rPr>
          <w:sz w:val="24"/>
          <w:szCs w:val="24"/>
        </w:rPr>
        <w:t>CTE</w:t>
      </w:r>
      <w:proofErr w:type="spellEnd"/>
      <w:r>
        <w:rPr>
          <w:sz w:val="24"/>
          <w:szCs w:val="24"/>
        </w:rPr>
        <w:t>.</w:t>
      </w:r>
    </w:p>
    <w:p w:rsidR="00D114EA" w:rsidRDefault="00D114EA">
      <w:pPr>
        <w:rPr>
          <w:sz w:val="24"/>
          <w:szCs w:val="24"/>
        </w:rPr>
      </w:pPr>
    </w:p>
    <w:p w:rsidR="00347AE8" w:rsidRPr="00347AE8" w:rsidRDefault="00347AE8">
      <w:pPr>
        <w:rPr>
          <w:sz w:val="24"/>
          <w:szCs w:val="24"/>
          <w:u w:val="single"/>
        </w:rPr>
      </w:pPr>
      <w:r w:rsidRPr="00347AE8">
        <w:rPr>
          <w:sz w:val="24"/>
          <w:szCs w:val="24"/>
          <w:u w:val="single"/>
        </w:rPr>
        <w:t>August 21</w:t>
      </w:r>
      <w:r w:rsidRPr="00347AE8">
        <w:rPr>
          <w:sz w:val="24"/>
          <w:szCs w:val="24"/>
          <w:u w:val="single"/>
          <w:vertAlign w:val="superscript"/>
        </w:rPr>
        <w:t>st</w:t>
      </w:r>
    </w:p>
    <w:p w:rsidR="00347AE8" w:rsidRDefault="00347AE8" w:rsidP="00347AE8">
      <w:pPr>
        <w:rPr>
          <w:b/>
          <w:sz w:val="24"/>
          <w:szCs w:val="24"/>
        </w:rPr>
      </w:pPr>
      <w:r w:rsidRPr="00347AE8">
        <w:rPr>
          <w:b/>
          <w:sz w:val="24"/>
          <w:szCs w:val="24"/>
        </w:rPr>
        <w:t xml:space="preserve">Overview of </w:t>
      </w:r>
      <w:proofErr w:type="spellStart"/>
      <w:r w:rsidRPr="00347AE8">
        <w:rPr>
          <w:b/>
          <w:sz w:val="24"/>
          <w:szCs w:val="24"/>
        </w:rPr>
        <w:t>CTE</w:t>
      </w:r>
      <w:proofErr w:type="spellEnd"/>
      <w:r w:rsidRPr="00347AE8">
        <w:rPr>
          <w:b/>
          <w:sz w:val="24"/>
          <w:szCs w:val="24"/>
        </w:rPr>
        <w:t xml:space="preserve"> funding</w:t>
      </w:r>
    </w:p>
    <w:p w:rsidR="00347AE8" w:rsidRDefault="00ED3D86" w:rsidP="00ED3D86">
      <w:pPr>
        <w:rPr>
          <w:sz w:val="24"/>
          <w:szCs w:val="24"/>
        </w:rPr>
      </w:pPr>
      <w:r>
        <w:rPr>
          <w:sz w:val="24"/>
          <w:szCs w:val="24"/>
        </w:rPr>
        <w:t>Presenter</w:t>
      </w:r>
    </w:p>
    <w:p w:rsidR="00ED3D86" w:rsidRDefault="00ED3D86" w:rsidP="00ED3D86">
      <w:pPr>
        <w:pStyle w:val="ListParagraph"/>
        <w:numPr>
          <w:ilvl w:val="0"/>
          <w:numId w:val="5"/>
        </w:numPr>
        <w:rPr>
          <w:sz w:val="24"/>
          <w:szCs w:val="24"/>
        </w:rPr>
      </w:pPr>
      <w:r>
        <w:rPr>
          <w:sz w:val="24"/>
          <w:szCs w:val="24"/>
        </w:rPr>
        <w:t>David Horseman, Associate Commissioner</w:t>
      </w:r>
    </w:p>
    <w:p w:rsidR="00ED3D86" w:rsidRPr="00ED3D86" w:rsidRDefault="00ED3D86" w:rsidP="00ED3D86">
      <w:pPr>
        <w:pStyle w:val="ListParagraph"/>
        <w:rPr>
          <w:sz w:val="24"/>
          <w:szCs w:val="24"/>
        </w:rPr>
      </w:pPr>
      <w:r w:rsidRPr="00ED3D86">
        <w:rPr>
          <w:sz w:val="24"/>
          <w:szCs w:val="24"/>
        </w:rPr>
        <w:t>Office of Career and Technical Education and Student Transition</w:t>
      </w:r>
    </w:p>
    <w:p w:rsidR="00ED3D86" w:rsidRDefault="00ED3D86" w:rsidP="00ED3D86">
      <w:pPr>
        <w:pStyle w:val="ListParagraph"/>
        <w:rPr>
          <w:sz w:val="24"/>
          <w:szCs w:val="24"/>
        </w:rPr>
      </w:pPr>
      <w:r w:rsidRPr="0001579F">
        <w:rPr>
          <w:sz w:val="24"/>
          <w:szCs w:val="24"/>
        </w:rPr>
        <w:t>Kentucky Department of Education</w:t>
      </w:r>
    </w:p>
    <w:p w:rsidR="00ED3D86" w:rsidRDefault="00ED3D86" w:rsidP="00ED3D86">
      <w:pPr>
        <w:rPr>
          <w:sz w:val="24"/>
          <w:szCs w:val="24"/>
        </w:rPr>
      </w:pPr>
      <w:r>
        <w:rPr>
          <w:sz w:val="24"/>
          <w:szCs w:val="24"/>
        </w:rPr>
        <w:t>Key Points</w:t>
      </w:r>
    </w:p>
    <w:p w:rsidR="00ED3D86" w:rsidRDefault="00ED3D86" w:rsidP="00ED3D86">
      <w:pPr>
        <w:pStyle w:val="ListParagraph"/>
        <w:numPr>
          <w:ilvl w:val="0"/>
          <w:numId w:val="5"/>
        </w:numPr>
        <w:rPr>
          <w:sz w:val="24"/>
          <w:szCs w:val="24"/>
        </w:rPr>
      </w:pPr>
      <w:r>
        <w:rPr>
          <w:sz w:val="24"/>
          <w:szCs w:val="24"/>
        </w:rPr>
        <w:t xml:space="preserve">$45 million is provided by the state for </w:t>
      </w:r>
      <w:proofErr w:type="spellStart"/>
      <w:r>
        <w:rPr>
          <w:sz w:val="24"/>
          <w:szCs w:val="24"/>
        </w:rPr>
        <w:t>ATCs</w:t>
      </w:r>
      <w:proofErr w:type="spellEnd"/>
      <w:r>
        <w:rPr>
          <w:sz w:val="24"/>
          <w:szCs w:val="24"/>
        </w:rPr>
        <w:t xml:space="preserve"> while $11 million is provided by the state for locally-operated centers (</w:t>
      </w:r>
      <w:proofErr w:type="spellStart"/>
      <w:r>
        <w:rPr>
          <w:sz w:val="24"/>
          <w:szCs w:val="24"/>
        </w:rPr>
        <w:t>LAVECs</w:t>
      </w:r>
      <w:proofErr w:type="spellEnd"/>
      <w:r>
        <w:rPr>
          <w:sz w:val="24"/>
          <w:szCs w:val="24"/>
        </w:rPr>
        <w:t>).</w:t>
      </w:r>
    </w:p>
    <w:p w:rsidR="00ED3D86" w:rsidRDefault="00ED3D86" w:rsidP="00ED3D86">
      <w:pPr>
        <w:pStyle w:val="ListParagraph"/>
        <w:numPr>
          <w:ilvl w:val="0"/>
          <w:numId w:val="5"/>
        </w:numPr>
        <w:rPr>
          <w:sz w:val="24"/>
          <w:szCs w:val="24"/>
        </w:rPr>
      </w:pPr>
      <w:r>
        <w:rPr>
          <w:sz w:val="24"/>
          <w:szCs w:val="24"/>
        </w:rPr>
        <w:t xml:space="preserve">The current state-funded average FTE amount for </w:t>
      </w:r>
      <w:proofErr w:type="spellStart"/>
      <w:r>
        <w:rPr>
          <w:sz w:val="24"/>
          <w:szCs w:val="24"/>
        </w:rPr>
        <w:t>ATCs</w:t>
      </w:r>
      <w:proofErr w:type="spellEnd"/>
      <w:r>
        <w:rPr>
          <w:sz w:val="24"/>
          <w:szCs w:val="24"/>
        </w:rPr>
        <w:t xml:space="preserve"> is $5,068 while the current state-funded average FTE amount for </w:t>
      </w:r>
      <w:proofErr w:type="spellStart"/>
      <w:r>
        <w:rPr>
          <w:sz w:val="24"/>
          <w:szCs w:val="24"/>
        </w:rPr>
        <w:t>LAVECs</w:t>
      </w:r>
      <w:proofErr w:type="spellEnd"/>
      <w:r>
        <w:rPr>
          <w:sz w:val="24"/>
          <w:szCs w:val="24"/>
        </w:rPr>
        <w:t xml:space="preserve"> is $1,451.</w:t>
      </w:r>
    </w:p>
    <w:p w:rsidR="00186964" w:rsidRDefault="00176F64" w:rsidP="00ED3D86">
      <w:pPr>
        <w:pStyle w:val="ListParagraph"/>
        <w:numPr>
          <w:ilvl w:val="0"/>
          <w:numId w:val="5"/>
        </w:numPr>
        <w:rPr>
          <w:sz w:val="24"/>
          <w:szCs w:val="24"/>
        </w:rPr>
      </w:pPr>
      <w:r>
        <w:rPr>
          <w:sz w:val="24"/>
          <w:szCs w:val="24"/>
        </w:rPr>
        <w:t>Statute</w:t>
      </w:r>
      <w:r w:rsidR="00186964">
        <w:rPr>
          <w:sz w:val="24"/>
          <w:szCs w:val="24"/>
        </w:rPr>
        <w:t xml:space="preserve"> allows a local board to assume control of an ATC</w:t>
      </w:r>
      <w:r w:rsidR="000565F7">
        <w:rPr>
          <w:sz w:val="24"/>
          <w:szCs w:val="24"/>
        </w:rPr>
        <w:t>,</w:t>
      </w:r>
      <w:r w:rsidR="00763D36">
        <w:rPr>
          <w:sz w:val="24"/>
          <w:szCs w:val="24"/>
        </w:rPr>
        <w:t xml:space="preserve"> but </w:t>
      </w:r>
      <w:r w:rsidR="007171B2">
        <w:rPr>
          <w:sz w:val="24"/>
          <w:szCs w:val="24"/>
        </w:rPr>
        <w:t>aft</w:t>
      </w:r>
      <w:r w:rsidR="000565F7">
        <w:rPr>
          <w:sz w:val="24"/>
          <w:szCs w:val="24"/>
        </w:rPr>
        <w:t>er a year</w:t>
      </w:r>
      <w:r w:rsidR="007171B2">
        <w:rPr>
          <w:sz w:val="24"/>
          <w:szCs w:val="24"/>
        </w:rPr>
        <w:t xml:space="preserve"> </w:t>
      </w:r>
      <w:r w:rsidR="00763D36">
        <w:rPr>
          <w:sz w:val="24"/>
          <w:szCs w:val="24"/>
        </w:rPr>
        <w:t xml:space="preserve">the locally-operated center </w:t>
      </w:r>
      <w:r w:rsidR="007171B2">
        <w:rPr>
          <w:sz w:val="24"/>
          <w:szCs w:val="24"/>
        </w:rPr>
        <w:t>is</w:t>
      </w:r>
      <w:r w:rsidR="00763D36">
        <w:rPr>
          <w:sz w:val="24"/>
          <w:szCs w:val="24"/>
        </w:rPr>
        <w:t xml:space="preserve"> no longer funded like an ATC</w:t>
      </w:r>
      <w:r w:rsidR="0096156C">
        <w:rPr>
          <w:sz w:val="24"/>
          <w:szCs w:val="24"/>
        </w:rPr>
        <w:t>, resulting in a significant reduction of state funding for the center</w:t>
      </w:r>
      <w:r w:rsidR="00763D36">
        <w:rPr>
          <w:sz w:val="24"/>
          <w:szCs w:val="24"/>
        </w:rPr>
        <w:t>.</w:t>
      </w:r>
    </w:p>
    <w:p w:rsidR="00176F64" w:rsidRDefault="000565F7" w:rsidP="00ED3D86">
      <w:pPr>
        <w:pStyle w:val="ListParagraph"/>
        <w:numPr>
          <w:ilvl w:val="0"/>
          <w:numId w:val="5"/>
        </w:numPr>
        <w:rPr>
          <w:sz w:val="24"/>
          <w:szCs w:val="24"/>
        </w:rPr>
      </w:pPr>
      <w:r>
        <w:rPr>
          <w:sz w:val="24"/>
          <w:szCs w:val="24"/>
        </w:rPr>
        <w:t>Per s</w:t>
      </w:r>
      <w:r w:rsidR="00176F64">
        <w:rPr>
          <w:sz w:val="24"/>
          <w:szCs w:val="24"/>
        </w:rPr>
        <w:t>tatute</w:t>
      </w:r>
      <w:r>
        <w:rPr>
          <w:sz w:val="24"/>
          <w:szCs w:val="24"/>
        </w:rPr>
        <w:t>,</w:t>
      </w:r>
      <w:r w:rsidR="00176F64">
        <w:rPr>
          <w:sz w:val="24"/>
          <w:szCs w:val="24"/>
        </w:rPr>
        <w:t xml:space="preserve"> </w:t>
      </w:r>
      <w:proofErr w:type="spellStart"/>
      <w:r w:rsidR="00176F64">
        <w:rPr>
          <w:sz w:val="24"/>
          <w:szCs w:val="24"/>
        </w:rPr>
        <w:t>LAVECs</w:t>
      </w:r>
      <w:proofErr w:type="spellEnd"/>
      <w:r w:rsidR="00176F64">
        <w:rPr>
          <w:sz w:val="24"/>
          <w:szCs w:val="24"/>
        </w:rPr>
        <w:t xml:space="preserve"> established after June 2001 are not eligible for funding; however, budget bill language allows Category II and III programs established after 2001 to be funded, if approved by the Commissioner.</w:t>
      </w:r>
    </w:p>
    <w:p w:rsidR="00763D36" w:rsidRDefault="00176F64" w:rsidP="00ED3D86">
      <w:pPr>
        <w:pStyle w:val="ListParagraph"/>
        <w:numPr>
          <w:ilvl w:val="0"/>
          <w:numId w:val="5"/>
        </w:numPr>
        <w:rPr>
          <w:sz w:val="24"/>
          <w:szCs w:val="24"/>
        </w:rPr>
      </w:pPr>
      <w:r>
        <w:rPr>
          <w:sz w:val="24"/>
          <w:szCs w:val="24"/>
        </w:rPr>
        <w:lastRenderedPageBreak/>
        <w:t xml:space="preserve">Because the state appropriation </w:t>
      </w:r>
      <w:r w:rsidR="00763D36">
        <w:rPr>
          <w:sz w:val="24"/>
          <w:szCs w:val="24"/>
        </w:rPr>
        <w:t xml:space="preserve">of </w:t>
      </w:r>
      <w:proofErr w:type="spellStart"/>
      <w:r>
        <w:rPr>
          <w:sz w:val="24"/>
          <w:szCs w:val="24"/>
        </w:rPr>
        <w:t>LAVECs</w:t>
      </w:r>
      <w:proofErr w:type="spellEnd"/>
      <w:r>
        <w:rPr>
          <w:sz w:val="24"/>
          <w:szCs w:val="24"/>
        </w:rPr>
        <w:t xml:space="preserve"> has remained at the same </w:t>
      </w:r>
      <w:r w:rsidR="00763D36">
        <w:rPr>
          <w:sz w:val="24"/>
          <w:szCs w:val="24"/>
        </w:rPr>
        <w:t xml:space="preserve">level for several years, </w:t>
      </w:r>
      <w:r>
        <w:rPr>
          <w:sz w:val="24"/>
          <w:szCs w:val="24"/>
        </w:rPr>
        <w:t xml:space="preserve">funding requests for new </w:t>
      </w:r>
      <w:proofErr w:type="spellStart"/>
      <w:r>
        <w:rPr>
          <w:sz w:val="24"/>
          <w:szCs w:val="24"/>
        </w:rPr>
        <w:t>LAVECs</w:t>
      </w:r>
      <w:proofErr w:type="spellEnd"/>
      <w:r>
        <w:rPr>
          <w:sz w:val="24"/>
          <w:szCs w:val="24"/>
        </w:rPr>
        <w:t xml:space="preserve"> and new programs at current </w:t>
      </w:r>
      <w:proofErr w:type="spellStart"/>
      <w:r>
        <w:rPr>
          <w:sz w:val="24"/>
          <w:szCs w:val="24"/>
        </w:rPr>
        <w:t>LAVECs</w:t>
      </w:r>
      <w:proofErr w:type="spellEnd"/>
      <w:r>
        <w:rPr>
          <w:sz w:val="24"/>
          <w:szCs w:val="24"/>
        </w:rPr>
        <w:t xml:space="preserve"> have not been funded.  The $11.8 million is divided among the 42 </w:t>
      </w:r>
      <w:proofErr w:type="spellStart"/>
      <w:r>
        <w:rPr>
          <w:sz w:val="24"/>
          <w:szCs w:val="24"/>
        </w:rPr>
        <w:t>LAVECs</w:t>
      </w:r>
      <w:proofErr w:type="spellEnd"/>
      <w:r>
        <w:rPr>
          <w:sz w:val="24"/>
          <w:szCs w:val="24"/>
        </w:rPr>
        <w:t xml:space="preserve"> based on FTE.</w:t>
      </w:r>
    </w:p>
    <w:p w:rsidR="00E87978" w:rsidRDefault="00E87978" w:rsidP="00ED3D86">
      <w:pPr>
        <w:pStyle w:val="ListParagraph"/>
        <w:numPr>
          <w:ilvl w:val="0"/>
          <w:numId w:val="5"/>
        </w:numPr>
        <w:rPr>
          <w:sz w:val="24"/>
          <w:szCs w:val="24"/>
        </w:rPr>
      </w:pPr>
      <w:r>
        <w:rPr>
          <w:sz w:val="24"/>
          <w:szCs w:val="24"/>
        </w:rPr>
        <w:t xml:space="preserve">KDE estimates there </w:t>
      </w:r>
      <w:r w:rsidR="005317AC">
        <w:rPr>
          <w:sz w:val="24"/>
          <w:szCs w:val="24"/>
        </w:rPr>
        <w:t>are</w:t>
      </w:r>
      <w:r>
        <w:rPr>
          <w:sz w:val="24"/>
          <w:szCs w:val="24"/>
        </w:rPr>
        <w:t xml:space="preserve"> $1.3 million in unfunded pathways within </w:t>
      </w:r>
      <w:proofErr w:type="spellStart"/>
      <w:r>
        <w:rPr>
          <w:sz w:val="24"/>
          <w:szCs w:val="24"/>
        </w:rPr>
        <w:t>LAVEC</w:t>
      </w:r>
      <w:proofErr w:type="spellEnd"/>
      <w:r>
        <w:rPr>
          <w:sz w:val="24"/>
          <w:szCs w:val="24"/>
        </w:rPr>
        <w:t>-funded schools and $1.3 million in unfun</w:t>
      </w:r>
      <w:r w:rsidR="000565F7">
        <w:rPr>
          <w:sz w:val="24"/>
          <w:szCs w:val="24"/>
        </w:rPr>
        <w:t xml:space="preserve">ded </w:t>
      </w:r>
      <w:proofErr w:type="spellStart"/>
      <w:r w:rsidR="000565F7">
        <w:rPr>
          <w:sz w:val="24"/>
          <w:szCs w:val="24"/>
        </w:rPr>
        <w:t>LAVEC</w:t>
      </w:r>
      <w:proofErr w:type="spellEnd"/>
      <w:r w:rsidR="000565F7">
        <w:rPr>
          <w:sz w:val="24"/>
          <w:szCs w:val="24"/>
        </w:rPr>
        <w:t xml:space="preserve"> school open requests</w:t>
      </w:r>
      <w:r>
        <w:rPr>
          <w:sz w:val="24"/>
          <w:szCs w:val="24"/>
        </w:rPr>
        <w:t>.</w:t>
      </w:r>
    </w:p>
    <w:p w:rsidR="006D3BC0" w:rsidRDefault="006D3BC0" w:rsidP="00ED3D86">
      <w:pPr>
        <w:pStyle w:val="ListParagraph"/>
        <w:numPr>
          <w:ilvl w:val="0"/>
          <w:numId w:val="5"/>
        </w:numPr>
        <w:rPr>
          <w:sz w:val="24"/>
          <w:szCs w:val="24"/>
        </w:rPr>
      </w:pPr>
      <w:r>
        <w:rPr>
          <w:sz w:val="24"/>
          <w:szCs w:val="24"/>
        </w:rPr>
        <w:t xml:space="preserve">KDE estimates there are 78 schools in Kentucky that meet the definition of a locally-operated </w:t>
      </w:r>
      <w:proofErr w:type="spellStart"/>
      <w:r>
        <w:rPr>
          <w:sz w:val="24"/>
          <w:szCs w:val="24"/>
        </w:rPr>
        <w:t>CTE</w:t>
      </w:r>
      <w:proofErr w:type="spellEnd"/>
      <w:r>
        <w:rPr>
          <w:sz w:val="24"/>
          <w:szCs w:val="24"/>
        </w:rPr>
        <w:t xml:space="preserve"> center that have never requested that status and funding.</w:t>
      </w:r>
    </w:p>
    <w:p w:rsidR="00176F64" w:rsidRDefault="00176F64" w:rsidP="00ED3D86">
      <w:pPr>
        <w:pStyle w:val="ListParagraph"/>
        <w:numPr>
          <w:ilvl w:val="0"/>
          <w:numId w:val="5"/>
        </w:numPr>
        <w:rPr>
          <w:sz w:val="24"/>
          <w:szCs w:val="24"/>
        </w:rPr>
      </w:pPr>
      <w:r>
        <w:rPr>
          <w:sz w:val="24"/>
          <w:szCs w:val="24"/>
        </w:rPr>
        <w:t>There is a discrepancy between statute and regulation</w:t>
      </w:r>
      <w:r w:rsidR="003E4703">
        <w:rPr>
          <w:sz w:val="24"/>
          <w:szCs w:val="24"/>
        </w:rPr>
        <w:t xml:space="preserve"> with the </w:t>
      </w:r>
      <w:proofErr w:type="spellStart"/>
      <w:r w:rsidR="003E4703">
        <w:rPr>
          <w:sz w:val="24"/>
          <w:szCs w:val="24"/>
        </w:rPr>
        <w:t>LAVEC</w:t>
      </w:r>
      <w:proofErr w:type="spellEnd"/>
      <w:r w:rsidR="003E4703">
        <w:rPr>
          <w:sz w:val="24"/>
          <w:szCs w:val="24"/>
        </w:rPr>
        <w:t xml:space="preserve"> funding formula.  KDE has been using the regulatory formula because the statutory formula would result in </w:t>
      </w:r>
      <w:r w:rsidR="00E87978">
        <w:rPr>
          <w:sz w:val="24"/>
          <w:szCs w:val="24"/>
        </w:rPr>
        <w:t>funding be</w:t>
      </w:r>
      <w:r w:rsidR="00511FC0">
        <w:rPr>
          <w:sz w:val="24"/>
          <w:szCs w:val="24"/>
        </w:rPr>
        <w:t>ing</w:t>
      </w:r>
      <w:r w:rsidR="00E87978">
        <w:rPr>
          <w:sz w:val="24"/>
          <w:szCs w:val="24"/>
        </w:rPr>
        <w:t xml:space="preserve"> reduced the more </w:t>
      </w:r>
      <w:proofErr w:type="spellStart"/>
      <w:r w:rsidR="00E87978">
        <w:rPr>
          <w:sz w:val="24"/>
          <w:szCs w:val="24"/>
        </w:rPr>
        <w:t>CTE</w:t>
      </w:r>
      <w:proofErr w:type="spellEnd"/>
      <w:r w:rsidR="00E87978">
        <w:rPr>
          <w:sz w:val="24"/>
          <w:szCs w:val="24"/>
        </w:rPr>
        <w:t xml:space="preserve"> hours taken.</w:t>
      </w:r>
    </w:p>
    <w:p w:rsidR="006D3BC0" w:rsidRDefault="006D3BC0" w:rsidP="00ED3D86">
      <w:pPr>
        <w:pStyle w:val="ListParagraph"/>
        <w:numPr>
          <w:ilvl w:val="0"/>
          <w:numId w:val="5"/>
        </w:numPr>
        <w:rPr>
          <w:sz w:val="24"/>
          <w:szCs w:val="24"/>
        </w:rPr>
      </w:pPr>
      <w:r>
        <w:rPr>
          <w:sz w:val="24"/>
          <w:szCs w:val="24"/>
        </w:rPr>
        <w:t xml:space="preserve">KDE recommended a phased approach to address </w:t>
      </w:r>
      <w:proofErr w:type="spellStart"/>
      <w:r>
        <w:rPr>
          <w:sz w:val="24"/>
          <w:szCs w:val="24"/>
        </w:rPr>
        <w:t>CTE</w:t>
      </w:r>
      <w:proofErr w:type="spellEnd"/>
      <w:r>
        <w:rPr>
          <w:sz w:val="24"/>
          <w:szCs w:val="24"/>
        </w:rPr>
        <w:t xml:space="preserve"> funding and governance changes.</w:t>
      </w:r>
    </w:p>
    <w:p w:rsidR="006D3BC0" w:rsidRDefault="006D3BC0" w:rsidP="00ED3D86">
      <w:pPr>
        <w:pStyle w:val="ListParagraph"/>
        <w:numPr>
          <w:ilvl w:val="0"/>
          <w:numId w:val="5"/>
        </w:numPr>
        <w:rPr>
          <w:sz w:val="24"/>
          <w:szCs w:val="24"/>
        </w:rPr>
      </w:pPr>
      <w:r>
        <w:rPr>
          <w:sz w:val="24"/>
          <w:szCs w:val="24"/>
        </w:rPr>
        <w:t>Phase I</w:t>
      </w:r>
      <w:r w:rsidR="001A0CAD">
        <w:rPr>
          <w:sz w:val="24"/>
          <w:szCs w:val="24"/>
        </w:rPr>
        <w:t xml:space="preserve"> (2020-2022)</w:t>
      </w:r>
      <w:r>
        <w:rPr>
          <w:sz w:val="24"/>
          <w:szCs w:val="24"/>
        </w:rPr>
        <w:t>:</w:t>
      </w:r>
    </w:p>
    <w:p w:rsidR="006D3BC0" w:rsidRDefault="006D3BC0" w:rsidP="006D3BC0">
      <w:pPr>
        <w:pStyle w:val="ListParagraph"/>
        <w:numPr>
          <w:ilvl w:val="1"/>
          <w:numId w:val="5"/>
        </w:numPr>
        <w:rPr>
          <w:sz w:val="24"/>
          <w:szCs w:val="24"/>
        </w:rPr>
      </w:pPr>
      <w:r>
        <w:rPr>
          <w:sz w:val="24"/>
          <w:szCs w:val="24"/>
        </w:rPr>
        <w:t xml:space="preserve">Re-examine levels of pathway/category funding and make changes if </w:t>
      </w:r>
      <w:r w:rsidR="000565F7">
        <w:rPr>
          <w:sz w:val="24"/>
          <w:szCs w:val="24"/>
        </w:rPr>
        <w:t>needed</w:t>
      </w:r>
      <w:r>
        <w:rPr>
          <w:sz w:val="24"/>
          <w:szCs w:val="24"/>
        </w:rPr>
        <w:t>.</w:t>
      </w:r>
    </w:p>
    <w:p w:rsidR="006D3BC0" w:rsidRDefault="006D3BC0" w:rsidP="006D3BC0">
      <w:pPr>
        <w:pStyle w:val="ListParagraph"/>
        <w:numPr>
          <w:ilvl w:val="1"/>
          <w:numId w:val="5"/>
        </w:numPr>
        <w:rPr>
          <w:sz w:val="24"/>
          <w:szCs w:val="24"/>
        </w:rPr>
      </w:pPr>
      <w:r>
        <w:rPr>
          <w:sz w:val="24"/>
          <w:szCs w:val="24"/>
        </w:rPr>
        <w:t xml:space="preserve">Increase </w:t>
      </w:r>
      <w:r w:rsidR="00511FC0">
        <w:rPr>
          <w:sz w:val="24"/>
          <w:szCs w:val="24"/>
        </w:rPr>
        <w:t xml:space="preserve">the </w:t>
      </w:r>
      <w:proofErr w:type="spellStart"/>
      <w:r>
        <w:rPr>
          <w:sz w:val="24"/>
          <w:szCs w:val="24"/>
        </w:rPr>
        <w:t>LAVEC</w:t>
      </w:r>
      <w:proofErr w:type="spellEnd"/>
      <w:r>
        <w:rPr>
          <w:sz w:val="24"/>
          <w:szCs w:val="24"/>
        </w:rPr>
        <w:t xml:space="preserve"> state appropriation to $2.8 million to include requested unfunded centers and unfunded programs within centers.</w:t>
      </w:r>
    </w:p>
    <w:p w:rsidR="006D3BC0" w:rsidRDefault="006D3BC0" w:rsidP="006D3BC0">
      <w:pPr>
        <w:pStyle w:val="ListParagraph"/>
        <w:numPr>
          <w:ilvl w:val="1"/>
          <w:numId w:val="5"/>
        </w:numPr>
        <w:rPr>
          <w:sz w:val="24"/>
          <w:szCs w:val="24"/>
        </w:rPr>
      </w:pPr>
      <w:r>
        <w:rPr>
          <w:sz w:val="24"/>
          <w:szCs w:val="24"/>
        </w:rPr>
        <w:t>Establish policies and procedures for requesting, approving, and closing programs that receive state funding.</w:t>
      </w:r>
    </w:p>
    <w:p w:rsidR="006D3BC0" w:rsidRDefault="006D3BC0" w:rsidP="006D3BC0">
      <w:pPr>
        <w:pStyle w:val="ListParagraph"/>
        <w:numPr>
          <w:ilvl w:val="1"/>
          <w:numId w:val="5"/>
        </w:numPr>
        <w:rPr>
          <w:sz w:val="24"/>
          <w:szCs w:val="24"/>
        </w:rPr>
      </w:pPr>
      <w:r>
        <w:rPr>
          <w:sz w:val="24"/>
          <w:szCs w:val="24"/>
        </w:rPr>
        <w:t xml:space="preserve">Correct </w:t>
      </w:r>
      <w:r w:rsidR="00511FC0">
        <w:rPr>
          <w:sz w:val="24"/>
          <w:szCs w:val="24"/>
        </w:rPr>
        <w:t xml:space="preserve">the </w:t>
      </w:r>
      <w:r>
        <w:rPr>
          <w:sz w:val="24"/>
          <w:szCs w:val="24"/>
        </w:rPr>
        <w:t xml:space="preserve">existing </w:t>
      </w:r>
      <w:r w:rsidR="00511FC0">
        <w:rPr>
          <w:sz w:val="24"/>
          <w:szCs w:val="24"/>
        </w:rPr>
        <w:t xml:space="preserve">funding formula </w:t>
      </w:r>
      <w:r>
        <w:rPr>
          <w:sz w:val="24"/>
          <w:szCs w:val="24"/>
        </w:rPr>
        <w:t>conflict between statute and regulation.</w:t>
      </w:r>
    </w:p>
    <w:p w:rsidR="006D3BC0" w:rsidRDefault="001A0CAD" w:rsidP="006D3BC0">
      <w:pPr>
        <w:pStyle w:val="ListParagraph"/>
        <w:numPr>
          <w:ilvl w:val="1"/>
          <w:numId w:val="5"/>
        </w:numPr>
        <w:rPr>
          <w:sz w:val="24"/>
          <w:szCs w:val="24"/>
        </w:rPr>
      </w:pPr>
      <w:r>
        <w:rPr>
          <w:sz w:val="24"/>
          <w:szCs w:val="24"/>
        </w:rPr>
        <w:t xml:space="preserve">Classify which </w:t>
      </w:r>
      <w:proofErr w:type="spellStart"/>
      <w:r>
        <w:rPr>
          <w:sz w:val="24"/>
          <w:szCs w:val="24"/>
        </w:rPr>
        <w:t>ATCs</w:t>
      </w:r>
      <w:proofErr w:type="spellEnd"/>
      <w:r>
        <w:rPr>
          <w:sz w:val="24"/>
          <w:szCs w:val="24"/>
        </w:rPr>
        <w:t xml:space="preserve"> will move to local control bas</w:t>
      </w:r>
      <w:r w:rsidR="005F09A3">
        <w:rPr>
          <w:sz w:val="24"/>
          <w:szCs w:val="24"/>
        </w:rPr>
        <w:t xml:space="preserve">ed on </w:t>
      </w:r>
      <w:r w:rsidR="00511FC0">
        <w:rPr>
          <w:sz w:val="24"/>
          <w:szCs w:val="24"/>
        </w:rPr>
        <w:t xml:space="preserve">a </w:t>
      </w:r>
      <w:r w:rsidR="005F09A3">
        <w:rPr>
          <w:sz w:val="24"/>
          <w:szCs w:val="24"/>
        </w:rPr>
        <w:t>district</w:t>
      </w:r>
      <w:r w:rsidR="00511FC0">
        <w:rPr>
          <w:sz w:val="24"/>
          <w:szCs w:val="24"/>
        </w:rPr>
        <w:t>’s</w:t>
      </w:r>
      <w:r w:rsidR="005F09A3">
        <w:rPr>
          <w:sz w:val="24"/>
          <w:szCs w:val="24"/>
        </w:rPr>
        <w:t xml:space="preserve"> will and ability and create a transition process that </w:t>
      </w:r>
      <w:r w:rsidR="000565F7">
        <w:rPr>
          <w:sz w:val="24"/>
          <w:szCs w:val="24"/>
        </w:rPr>
        <w:t>leads</w:t>
      </w:r>
      <w:r w:rsidR="005F09A3">
        <w:rPr>
          <w:sz w:val="24"/>
          <w:szCs w:val="24"/>
        </w:rPr>
        <w:t xml:space="preserve"> to long-term access and funding equity and incentivizes district collaboration.</w:t>
      </w:r>
    </w:p>
    <w:p w:rsidR="005F09A3" w:rsidRDefault="005F09A3" w:rsidP="005F09A3">
      <w:pPr>
        <w:pStyle w:val="ListParagraph"/>
        <w:numPr>
          <w:ilvl w:val="0"/>
          <w:numId w:val="5"/>
        </w:numPr>
        <w:rPr>
          <w:sz w:val="24"/>
          <w:szCs w:val="24"/>
        </w:rPr>
      </w:pPr>
      <w:r>
        <w:rPr>
          <w:sz w:val="24"/>
          <w:szCs w:val="24"/>
        </w:rPr>
        <w:t>Phase II (2023-2024)</w:t>
      </w:r>
    </w:p>
    <w:p w:rsidR="005F09A3" w:rsidRDefault="005F09A3" w:rsidP="005F09A3">
      <w:pPr>
        <w:pStyle w:val="ListParagraph"/>
        <w:numPr>
          <w:ilvl w:val="1"/>
          <w:numId w:val="5"/>
        </w:numPr>
        <w:rPr>
          <w:sz w:val="24"/>
          <w:szCs w:val="24"/>
        </w:rPr>
      </w:pPr>
      <w:r>
        <w:rPr>
          <w:sz w:val="24"/>
          <w:szCs w:val="24"/>
        </w:rPr>
        <w:t xml:space="preserve">Enact legislation to support equitable </w:t>
      </w:r>
      <w:proofErr w:type="spellStart"/>
      <w:r>
        <w:rPr>
          <w:sz w:val="24"/>
          <w:szCs w:val="24"/>
        </w:rPr>
        <w:t>CTE</w:t>
      </w:r>
      <w:proofErr w:type="spellEnd"/>
      <w:r>
        <w:rPr>
          <w:sz w:val="24"/>
          <w:szCs w:val="24"/>
        </w:rPr>
        <w:t xml:space="preserve"> program implementation with fidelity that will continue the ATC transition to local control, create a system for locating and funding future centers, provide a funding mechanism for equipment upgrades, and provide structure for continuous improvement and expansion of </w:t>
      </w:r>
      <w:proofErr w:type="spellStart"/>
      <w:r>
        <w:rPr>
          <w:sz w:val="24"/>
          <w:szCs w:val="24"/>
        </w:rPr>
        <w:t>CTE</w:t>
      </w:r>
      <w:proofErr w:type="spellEnd"/>
      <w:r>
        <w:rPr>
          <w:sz w:val="24"/>
          <w:szCs w:val="24"/>
        </w:rPr>
        <w:t>.</w:t>
      </w:r>
    </w:p>
    <w:p w:rsidR="00665E1A" w:rsidRDefault="005F09A3" w:rsidP="005F09A3">
      <w:pPr>
        <w:pStyle w:val="ListParagraph"/>
        <w:numPr>
          <w:ilvl w:val="0"/>
          <w:numId w:val="5"/>
        </w:numPr>
        <w:rPr>
          <w:sz w:val="24"/>
          <w:szCs w:val="24"/>
        </w:rPr>
      </w:pPr>
      <w:r>
        <w:rPr>
          <w:sz w:val="24"/>
          <w:szCs w:val="24"/>
        </w:rPr>
        <w:t xml:space="preserve">Considerations </w:t>
      </w:r>
      <w:r w:rsidR="00511FC0">
        <w:rPr>
          <w:sz w:val="24"/>
          <w:szCs w:val="24"/>
        </w:rPr>
        <w:t>for</w:t>
      </w:r>
      <w:r>
        <w:rPr>
          <w:sz w:val="24"/>
          <w:szCs w:val="24"/>
        </w:rPr>
        <w:t xml:space="preserve"> transitioning all </w:t>
      </w:r>
      <w:proofErr w:type="spellStart"/>
      <w:r>
        <w:rPr>
          <w:sz w:val="24"/>
          <w:szCs w:val="24"/>
        </w:rPr>
        <w:t>ATCs</w:t>
      </w:r>
      <w:proofErr w:type="spellEnd"/>
      <w:r w:rsidR="00511FC0">
        <w:rPr>
          <w:sz w:val="24"/>
          <w:szCs w:val="24"/>
        </w:rPr>
        <w:t xml:space="preserve"> to local operation</w:t>
      </w:r>
      <w:r>
        <w:rPr>
          <w:sz w:val="24"/>
          <w:szCs w:val="24"/>
        </w:rPr>
        <w:t xml:space="preserve"> include 1) districts that don’t have the will or capacity to take over an ATC; 2) ensuring continued equitable access to current ATC feeder districts; 3) allowing local districts to charge tuition/fees to feeder districts; 4) requiri</w:t>
      </w:r>
      <w:r w:rsidR="00665E1A">
        <w:rPr>
          <w:sz w:val="24"/>
          <w:szCs w:val="24"/>
        </w:rPr>
        <w:t>ng shared governance of centers; and 5)</w:t>
      </w:r>
      <w:r>
        <w:rPr>
          <w:sz w:val="24"/>
          <w:szCs w:val="24"/>
        </w:rPr>
        <w:t xml:space="preserve"> incentives for regional collaboration</w:t>
      </w:r>
      <w:r w:rsidR="00665E1A">
        <w:rPr>
          <w:sz w:val="24"/>
          <w:szCs w:val="24"/>
        </w:rPr>
        <w:t>.</w:t>
      </w:r>
    </w:p>
    <w:p w:rsidR="005F09A3" w:rsidRDefault="00665E1A" w:rsidP="005F09A3">
      <w:pPr>
        <w:pStyle w:val="ListParagraph"/>
        <w:numPr>
          <w:ilvl w:val="0"/>
          <w:numId w:val="5"/>
        </w:numPr>
        <w:rPr>
          <w:sz w:val="24"/>
          <w:szCs w:val="24"/>
        </w:rPr>
      </w:pPr>
      <w:proofErr w:type="spellStart"/>
      <w:r>
        <w:rPr>
          <w:sz w:val="24"/>
          <w:szCs w:val="24"/>
        </w:rPr>
        <w:t>KDE’s</w:t>
      </w:r>
      <w:proofErr w:type="spellEnd"/>
      <w:r>
        <w:rPr>
          <w:sz w:val="24"/>
          <w:szCs w:val="24"/>
        </w:rPr>
        <w:t xml:space="preserve"> concerns</w:t>
      </w:r>
      <w:r w:rsidR="00511FC0">
        <w:rPr>
          <w:sz w:val="24"/>
          <w:szCs w:val="24"/>
        </w:rPr>
        <w:t xml:space="preserve"> for immediate </w:t>
      </w:r>
      <w:r w:rsidR="000565F7">
        <w:rPr>
          <w:sz w:val="24"/>
          <w:szCs w:val="24"/>
        </w:rPr>
        <w:t xml:space="preserve">legislative </w:t>
      </w:r>
      <w:r w:rsidR="00511FC0">
        <w:rPr>
          <w:sz w:val="24"/>
          <w:szCs w:val="24"/>
        </w:rPr>
        <w:t>action include</w:t>
      </w:r>
      <w:r>
        <w:rPr>
          <w:sz w:val="24"/>
          <w:szCs w:val="24"/>
        </w:rPr>
        <w:t xml:space="preserve">: 1) the </w:t>
      </w:r>
      <w:proofErr w:type="spellStart"/>
      <w:r>
        <w:rPr>
          <w:sz w:val="24"/>
          <w:szCs w:val="24"/>
        </w:rPr>
        <w:t>LAVEC</w:t>
      </w:r>
      <w:proofErr w:type="spellEnd"/>
      <w:r>
        <w:rPr>
          <w:sz w:val="24"/>
          <w:szCs w:val="24"/>
        </w:rPr>
        <w:t xml:space="preserve"> funding conflict between the statutory and regulatory formula; 2) the lack of funding for additional pathways within currently-funded </w:t>
      </w:r>
      <w:proofErr w:type="spellStart"/>
      <w:r>
        <w:rPr>
          <w:sz w:val="24"/>
          <w:szCs w:val="24"/>
        </w:rPr>
        <w:t>LAVEC</w:t>
      </w:r>
      <w:proofErr w:type="spellEnd"/>
      <w:r>
        <w:rPr>
          <w:sz w:val="24"/>
          <w:szCs w:val="24"/>
        </w:rPr>
        <w:t xml:space="preserve"> schools; and 3) the current </w:t>
      </w:r>
      <w:r w:rsidR="000565F7">
        <w:rPr>
          <w:sz w:val="24"/>
          <w:szCs w:val="24"/>
        </w:rPr>
        <w:t>language</w:t>
      </w:r>
      <w:r>
        <w:rPr>
          <w:sz w:val="24"/>
          <w:szCs w:val="24"/>
        </w:rPr>
        <w:t xml:space="preserve"> that only allows an ATC budget</w:t>
      </w:r>
      <w:r w:rsidR="00511FC0">
        <w:rPr>
          <w:sz w:val="24"/>
          <w:szCs w:val="24"/>
        </w:rPr>
        <w:t xml:space="preserve"> </w:t>
      </w:r>
      <w:r>
        <w:rPr>
          <w:sz w:val="24"/>
          <w:szCs w:val="24"/>
        </w:rPr>
        <w:t>to follow</w:t>
      </w:r>
      <w:r w:rsidR="00511FC0">
        <w:rPr>
          <w:sz w:val="24"/>
          <w:szCs w:val="24"/>
        </w:rPr>
        <w:t xml:space="preserve"> a transitioned district</w:t>
      </w:r>
      <w:r>
        <w:rPr>
          <w:sz w:val="24"/>
          <w:szCs w:val="24"/>
        </w:rPr>
        <w:t xml:space="preserve"> for one year </w:t>
      </w:r>
      <w:r w:rsidR="00511FC0">
        <w:rPr>
          <w:sz w:val="24"/>
          <w:szCs w:val="24"/>
        </w:rPr>
        <w:t xml:space="preserve">because </w:t>
      </w:r>
      <w:r>
        <w:rPr>
          <w:sz w:val="24"/>
          <w:szCs w:val="24"/>
        </w:rPr>
        <w:t>budgets for districts that make the transition will be dramatically reduced.</w:t>
      </w:r>
    </w:p>
    <w:p w:rsidR="003F0E62" w:rsidRDefault="004B7CCD" w:rsidP="005F09A3">
      <w:pPr>
        <w:pStyle w:val="ListParagraph"/>
        <w:numPr>
          <w:ilvl w:val="0"/>
          <w:numId w:val="5"/>
        </w:numPr>
        <w:rPr>
          <w:sz w:val="24"/>
          <w:szCs w:val="24"/>
        </w:rPr>
      </w:pPr>
      <w:r>
        <w:rPr>
          <w:sz w:val="24"/>
          <w:szCs w:val="24"/>
        </w:rPr>
        <w:t xml:space="preserve">KDE indicated that if the conflicting statute is not corrected and funding is not provided for additional pathways, it will begin following the current law language, resulting in </w:t>
      </w:r>
      <w:r w:rsidR="00D3206C">
        <w:rPr>
          <w:sz w:val="24"/>
          <w:szCs w:val="24"/>
        </w:rPr>
        <w:t>14 districts losing funding, 11 districts receiving increased funding, and 7 districts being mostly unaffected.</w:t>
      </w:r>
    </w:p>
    <w:p w:rsidR="000B4892" w:rsidRDefault="000B4892" w:rsidP="000B4892">
      <w:pPr>
        <w:rPr>
          <w:sz w:val="24"/>
          <w:szCs w:val="24"/>
        </w:rPr>
      </w:pPr>
    </w:p>
    <w:p w:rsidR="000B4892" w:rsidRPr="000B4892" w:rsidRDefault="000B4892" w:rsidP="000B4892">
      <w:pPr>
        <w:rPr>
          <w:sz w:val="24"/>
          <w:szCs w:val="24"/>
          <w:u w:val="single"/>
        </w:rPr>
      </w:pPr>
      <w:r w:rsidRPr="000B4892">
        <w:rPr>
          <w:sz w:val="24"/>
          <w:szCs w:val="24"/>
          <w:u w:val="single"/>
        </w:rPr>
        <w:lastRenderedPageBreak/>
        <w:t>Sept. 11</w:t>
      </w:r>
      <w:r w:rsidRPr="000B4892">
        <w:rPr>
          <w:sz w:val="24"/>
          <w:szCs w:val="24"/>
          <w:u w:val="single"/>
          <w:vertAlign w:val="superscript"/>
        </w:rPr>
        <w:t>th</w:t>
      </w:r>
    </w:p>
    <w:p w:rsidR="000B4892" w:rsidRDefault="000B4892" w:rsidP="000B4892">
      <w:pPr>
        <w:rPr>
          <w:b/>
          <w:sz w:val="24"/>
          <w:szCs w:val="24"/>
        </w:rPr>
      </w:pPr>
      <w:r w:rsidRPr="000B4892">
        <w:rPr>
          <w:b/>
          <w:sz w:val="24"/>
          <w:szCs w:val="24"/>
        </w:rPr>
        <w:t>Study of Six State</w:t>
      </w:r>
      <w:r>
        <w:rPr>
          <w:b/>
          <w:sz w:val="24"/>
          <w:szCs w:val="24"/>
        </w:rPr>
        <w:t>s’</w:t>
      </w:r>
      <w:r w:rsidRPr="000B4892">
        <w:rPr>
          <w:b/>
          <w:sz w:val="24"/>
          <w:szCs w:val="24"/>
        </w:rPr>
        <w:t xml:space="preserve"> </w:t>
      </w:r>
      <w:proofErr w:type="spellStart"/>
      <w:r w:rsidRPr="000B4892">
        <w:rPr>
          <w:b/>
          <w:sz w:val="24"/>
          <w:szCs w:val="24"/>
        </w:rPr>
        <w:t>CTE</w:t>
      </w:r>
      <w:proofErr w:type="spellEnd"/>
      <w:r w:rsidRPr="000B4892">
        <w:rPr>
          <w:b/>
          <w:sz w:val="24"/>
          <w:szCs w:val="24"/>
        </w:rPr>
        <w:t xml:space="preserve"> Systems</w:t>
      </w:r>
    </w:p>
    <w:p w:rsidR="000B4892" w:rsidRDefault="000B4892" w:rsidP="000B4892">
      <w:pPr>
        <w:rPr>
          <w:sz w:val="24"/>
          <w:szCs w:val="24"/>
        </w:rPr>
      </w:pPr>
      <w:r>
        <w:rPr>
          <w:sz w:val="24"/>
          <w:szCs w:val="24"/>
        </w:rPr>
        <w:t>Presenter</w:t>
      </w:r>
    </w:p>
    <w:p w:rsidR="000B4892" w:rsidRDefault="000B4892" w:rsidP="000B4892">
      <w:pPr>
        <w:pStyle w:val="ListParagraph"/>
        <w:numPr>
          <w:ilvl w:val="0"/>
          <w:numId w:val="6"/>
        </w:numPr>
        <w:rPr>
          <w:sz w:val="24"/>
          <w:szCs w:val="24"/>
        </w:rPr>
      </w:pPr>
      <w:r>
        <w:rPr>
          <w:sz w:val="24"/>
          <w:szCs w:val="24"/>
        </w:rPr>
        <w:t>Dr. Stephen Pruitt, President, Southern Regional Education Board</w:t>
      </w:r>
    </w:p>
    <w:p w:rsidR="000B4892" w:rsidRDefault="000B4892" w:rsidP="000B4892">
      <w:pPr>
        <w:rPr>
          <w:sz w:val="24"/>
          <w:szCs w:val="24"/>
        </w:rPr>
      </w:pPr>
      <w:r>
        <w:rPr>
          <w:sz w:val="24"/>
          <w:szCs w:val="24"/>
        </w:rPr>
        <w:t>Key Points</w:t>
      </w:r>
    </w:p>
    <w:p w:rsidR="000B4892" w:rsidRDefault="000B4892" w:rsidP="000B4892">
      <w:pPr>
        <w:pStyle w:val="ListParagraph"/>
        <w:numPr>
          <w:ilvl w:val="0"/>
          <w:numId w:val="6"/>
        </w:numPr>
        <w:rPr>
          <w:sz w:val="24"/>
          <w:szCs w:val="24"/>
        </w:rPr>
      </w:pPr>
      <w:proofErr w:type="spellStart"/>
      <w:r>
        <w:rPr>
          <w:sz w:val="24"/>
          <w:szCs w:val="24"/>
        </w:rPr>
        <w:t>SREB</w:t>
      </w:r>
      <w:proofErr w:type="spellEnd"/>
      <w:r>
        <w:rPr>
          <w:sz w:val="24"/>
          <w:szCs w:val="24"/>
        </w:rPr>
        <w:t xml:space="preserve"> provided an overview of </w:t>
      </w:r>
      <w:proofErr w:type="spellStart"/>
      <w:r>
        <w:rPr>
          <w:sz w:val="24"/>
          <w:szCs w:val="24"/>
        </w:rPr>
        <w:t>CTE</w:t>
      </w:r>
      <w:proofErr w:type="spellEnd"/>
      <w:r>
        <w:rPr>
          <w:sz w:val="24"/>
          <w:szCs w:val="24"/>
        </w:rPr>
        <w:t xml:space="preserve"> funding mechanisms from states that either border Kentucky or operate several shared-time technology centers. Kentucky’s system is generally not comparable to other states.</w:t>
      </w:r>
    </w:p>
    <w:p w:rsidR="000B4892" w:rsidRDefault="000B4892" w:rsidP="000B4892">
      <w:pPr>
        <w:pStyle w:val="ListParagraph"/>
        <w:numPr>
          <w:ilvl w:val="0"/>
          <w:numId w:val="6"/>
        </w:numPr>
        <w:rPr>
          <w:sz w:val="24"/>
          <w:szCs w:val="24"/>
        </w:rPr>
      </w:pPr>
      <w:r>
        <w:rPr>
          <w:sz w:val="24"/>
          <w:szCs w:val="24"/>
        </w:rPr>
        <w:t>A review of programs in Arkansas, Indiana, Ohio, Oklahoma, South Carolina, and West Virginia was presented.</w:t>
      </w:r>
    </w:p>
    <w:p w:rsidR="000B4892" w:rsidRDefault="000B4892" w:rsidP="000B4892">
      <w:pPr>
        <w:pStyle w:val="ListParagraph"/>
        <w:numPr>
          <w:ilvl w:val="0"/>
          <w:numId w:val="6"/>
        </w:numPr>
        <w:rPr>
          <w:sz w:val="24"/>
          <w:szCs w:val="24"/>
        </w:rPr>
      </w:pPr>
      <w:r>
        <w:rPr>
          <w:sz w:val="24"/>
          <w:szCs w:val="24"/>
        </w:rPr>
        <w:t>By 2020, the dependent portion of the population (children through college-age young adults and people who qualify for Social Security and Medicare) is expected to nearly equal the working-age population between ages 25-64.</w:t>
      </w:r>
    </w:p>
    <w:p w:rsidR="000B4892" w:rsidRDefault="000B4892" w:rsidP="000B4892">
      <w:pPr>
        <w:pStyle w:val="ListParagraph"/>
        <w:numPr>
          <w:ilvl w:val="0"/>
          <w:numId w:val="6"/>
        </w:numPr>
        <w:rPr>
          <w:sz w:val="24"/>
          <w:szCs w:val="24"/>
        </w:rPr>
      </w:pPr>
      <w:r>
        <w:rPr>
          <w:sz w:val="24"/>
          <w:szCs w:val="24"/>
        </w:rPr>
        <w:t>Kentucky must consider automation when determining future workforce needs.  Five percent of Kentucky’s jobs are completely automatable and 44 percent of all work activities have automation potential. 1.9 million Kentucky workers could be affected by automation in the coming decades.</w:t>
      </w:r>
    </w:p>
    <w:p w:rsidR="000B4892" w:rsidRDefault="000B4892" w:rsidP="000B4892">
      <w:pPr>
        <w:pStyle w:val="ListParagraph"/>
        <w:numPr>
          <w:ilvl w:val="0"/>
          <w:numId w:val="6"/>
        </w:numPr>
        <w:rPr>
          <w:sz w:val="24"/>
          <w:szCs w:val="24"/>
        </w:rPr>
      </w:pPr>
      <w:r>
        <w:rPr>
          <w:sz w:val="24"/>
          <w:szCs w:val="24"/>
        </w:rPr>
        <w:t xml:space="preserve">Critical aspects of a high-quality </w:t>
      </w:r>
      <w:proofErr w:type="spellStart"/>
      <w:r>
        <w:rPr>
          <w:sz w:val="24"/>
          <w:szCs w:val="24"/>
        </w:rPr>
        <w:t>CTE</w:t>
      </w:r>
      <w:proofErr w:type="spellEnd"/>
      <w:r>
        <w:rPr>
          <w:sz w:val="24"/>
          <w:szCs w:val="24"/>
        </w:rPr>
        <w:t xml:space="preserve"> include access and equity in securing and leveraging resources to close </w:t>
      </w:r>
      <w:proofErr w:type="spellStart"/>
      <w:r>
        <w:rPr>
          <w:sz w:val="24"/>
          <w:szCs w:val="24"/>
        </w:rPr>
        <w:t>CTE</w:t>
      </w:r>
      <w:proofErr w:type="spellEnd"/>
      <w:r>
        <w:rPr>
          <w:sz w:val="24"/>
          <w:szCs w:val="24"/>
        </w:rPr>
        <w:t xml:space="preserve"> opportunity gaps, working with regional stakeholders to expand geographic access to </w:t>
      </w:r>
      <w:proofErr w:type="spellStart"/>
      <w:r>
        <w:rPr>
          <w:sz w:val="24"/>
          <w:szCs w:val="24"/>
        </w:rPr>
        <w:t>CTE</w:t>
      </w:r>
      <w:proofErr w:type="spellEnd"/>
      <w:r>
        <w:rPr>
          <w:sz w:val="24"/>
          <w:szCs w:val="24"/>
        </w:rPr>
        <w:t xml:space="preserve">, and dismantling barriers that prevent learners from entering </w:t>
      </w:r>
      <w:proofErr w:type="spellStart"/>
      <w:r>
        <w:rPr>
          <w:sz w:val="24"/>
          <w:szCs w:val="24"/>
        </w:rPr>
        <w:t>CTE</w:t>
      </w:r>
      <w:proofErr w:type="spellEnd"/>
      <w:r>
        <w:rPr>
          <w:sz w:val="24"/>
          <w:szCs w:val="24"/>
        </w:rPr>
        <w:t xml:space="preserve"> programs.</w:t>
      </w:r>
    </w:p>
    <w:p w:rsidR="00351539" w:rsidRDefault="00351539" w:rsidP="000B4892">
      <w:pPr>
        <w:pStyle w:val="ListParagraph"/>
        <w:numPr>
          <w:ilvl w:val="0"/>
          <w:numId w:val="6"/>
        </w:numPr>
        <w:rPr>
          <w:sz w:val="24"/>
          <w:szCs w:val="24"/>
        </w:rPr>
      </w:pPr>
      <w:r>
        <w:rPr>
          <w:sz w:val="24"/>
          <w:szCs w:val="24"/>
        </w:rPr>
        <w:t xml:space="preserve">Kentucky should select a </w:t>
      </w:r>
      <w:proofErr w:type="spellStart"/>
      <w:r>
        <w:rPr>
          <w:sz w:val="24"/>
          <w:szCs w:val="24"/>
        </w:rPr>
        <w:t>CTE</w:t>
      </w:r>
      <w:proofErr w:type="spellEnd"/>
      <w:r>
        <w:rPr>
          <w:sz w:val="24"/>
          <w:szCs w:val="24"/>
        </w:rPr>
        <w:t xml:space="preserve"> governance model that drives Kentucky’s funding approach and not allow the funding model to determine the governance structure.</w:t>
      </w:r>
      <w:r w:rsidR="0080280E">
        <w:rPr>
          <w:sz w:val="24"/>
          <w:szCs w:val="24"/>
        </w:rPr>
        <w:t xml:space="preserve">  A systemic approach with a unified vision to balance the workforce needs for today and the future is crucial.</w:t>
      </w:r>
    </w:p>
    <w:p w:rsidR="00542E1C" w:rsidRDefault="00542E1C" w:rsidP="00542E1C">
      <w:pPr>
        <w:rPr>
          <w:sz w:val="24"/>
          <w:szCs w:val="24"/>
        </w:rPr>
      </w:pPr>
    </w:p>
    <w:p w:rsidR="00542E1C" w:rsidRDefault="00542E1C" w:rsidP="00542E1C">
      <w:pPr>
        <w:rPr>
          <w:sz w:val="24"/>
          <w:szCs w:val="24"/>
          <w:u w:val="single"/>
        </w:rPr>
      </w:pPr>
      <w:r w:rsidRPr="00542E1C">
        <w:rPr>
          <w:sz w:val="24"/>
          <w:szCs w:val="24"/>
          <w:u w:val="single"/>
        </w:rPr>
        <w:t>Oct. 2</w:t>
      </w:r>
    </w:p>
    <w:p w:rsidR="00542E1C" w:rsidRDefault="00542E1C" w:rsidP="00542E1C">
      <w:pPr>
        <w:rPr>
          <w:b/>
          <w:sz w:val="24"/>
          <w:szCs w:val="24"/>
        </w:rPr>
      </w:pPr>
      <w:r>
        <w:rPr>
          <w:b/>
          <w:sz w:val="24"/>
          <w:szCs w:val="24"/>
        </w:rPr>
        <w:t>Recap of Task Force Testimony and Discussion of Strategies for the Future</w:t>
      </w:r>
    </w:p>
    <w:p w:rsidR="00542E1C" w:rsidRDefault="00542E1C" w:rsidP="00542E1C">
      <w:pPr>
        <w:rPr>
          <w:sz w:val="24"/>
          <w:szCs w:val="24"/>
        </w:rPr>
      </w:pPr>
      <w:r>
        <w:rPr>
          <w:sz w:val="24"/>
          <w:szCs w:val="24"/>
        </w:rPr>
        <w:t>After</w:t>
      </w:r>
      <w:r w:rsidR="00C42014">
        <w:rPr>
          <w:sz w:val="24"/>
          <w:szCs w:val="24"/>
        </w:rPr>
        <w:t xml:space="preserve"> Co-Chair Wilson provided a recap of</w:t>
      </w:r>
      <w:r>
        <w:rPr>
          <w:sz w:val="24"/>
          <w:szCs w:val="24"/>
        </w:rPr>
        <w:t xml:space="preserve"> the </w:t>
      </w:r>
      <w:r w:rsidR="00C42014">
        <w:rPr>
          <w:sz w:val="24"/>
          <w:szCs w:val="24"/>
        </w:rPr>
        <w:t xml:space="preserve">interim meetings, the members discussed strategies and goals for the future of Kentucky’s career and technical education </w:t>
      </w:r>
      <w:r w:rsidR="005F16A7">
        <w:rPr>
          <w:sz w:val="24"/>
          <w:szCs w:val="24"/>
        </w:rPr>
        <w:t>system</w:t>
      </w:r>
      <w:r w:rsidR="00C42014">
        <w:rPr>
          <w:sz w:val="24"/>
          <w:szCs w:val="24"/>
        </w:rPr>
        <w:t>. The goals and strategies included:</w:t>
      </w:r>
    </w:p>
    <w:p w:rsidR="00542E1C" w:rsidRDefault="00C42014" w:rsidP="00542E1C">
      <w:pPr>
        <w:pStyle w:val="ListParagraph"/>
        <w:numPr>
          <w:ilvl w:val="0"/>
          <w:numId w:val="7"/>
        </w:numPr>
        <w:rPr>
          <w:sz w:val="24"/>
          <w:szCs w:val="24"/>
        </w:rPr>
      </w:pPr>
      <w:r>
        <w:rPr>
          <w:sz w:val="24"/>
          <w:szCs w:val="24"/>
        </w:rPr>
        <w:t>One equitabl</w:t>
      </w:r>
      <w:r w:rsidR="005F16A7">
        <w:rPr>
          <w:sz w:val="24"/>
          <w:szCs w:val="24"/>
        </w:rPr>
        <w:t>e, consistent funding mechanism;</w:t>
      </w:r>
    </w:p>
    <w:p w:rsidR="00C42014" w:rsidRDefault="00C42014" w:rsidP="00542E1C">
      <w:pPr>
        <w:pStyle w:val="ListParagraph"/>
        <w:numPr>
          <w:ilvl w:val="0"/>
          <w:numId w:val="7"/>
        </w:numPr>
        <w:rPr>
          <w:sz w:val="24"/>
          <w:szCs w:val="24"/>
        </w:rPr>
      </w:pPr>
      <w:r>
        <w:rPr>
          <w:sz w:val="24"/>
          <w:szCs w:val="24"/>
        </w:rPr>
        <w:t xml:space="preserve">State-level coordination, oversight, and approval of </w:t>
      </w:r>
      <w:proofErr w:type="spellStart"/>
      <w:r>
        <w:rPr>
          <w:sz w:val="24"/>
          <w:szCs w:val="24"/>
        </w:rPr>
        <w:t>CTE</w:t>
      </w:r>
      <w:proofErr w:type="spellEnd"/>
      <w:r>
        <w:rPr>
          <w:sz w:val="24"/>
          <w:szCs w:val="24"/>
        </w:rPr>
        <w:t xml:space="preserve"> programs, including o</w:t>
      </w:r>
      <w:r w:rsidR="005F16A7">
        <w:rPr>
          <w:sz w:val="24"/>
          <w:szCs w:val="24"/>
        </w:rPr>
        <w:t>utcomes-based quality standards;</w:t>
      </w:r>
    </w:p>
    <w:p w:rsidR="00C42014" w:rsidRDefault="00C42014" w:rsidP="00C42014">
      <w:pPr>
        <w:pStyle w:val="ListParagraph"/>
        <w:numPr>
          <w:ilvl w:val="0"/>
          <w:numId w:val="7"/>
        </w:numPr>
        <w:rPr>
          <w:sz w:val="24"/>
          <w:szCs w:val="24"/>
        </w:rPr>
      </w:pPr>
      <w:r>
        <w:rPr>
          <w:sz w:val="24"/>
          <w:szCs w:val="24"/>
        </w:rPr>
        <w:t>One governance model that provides a region</w:t>
      </w:r>
      <w:r w:rsidR="005F16A7">
        <w:rPr>
          <w:sz w:val="24"/>
          <w:szCs w:val="24"/>
        </w:rPr>
        <w:t>alized approach;</w:t>
      </w:r>
    </w:p>
    <w:p w:rsidR="00C42014" w:rsidRDefault="00C42014" w:rsidP="00C42014">
      <w:pPr>
        <w:pStyle w:val="ListParagraph"/>
        <w:numPr>
          <w:ilvl w:val="0"/>
          <w:numId w:val="7"/>
        </w:numPr>
        <w:rPr>
          <w:sz w:val="24"/>
          <w:szCs w:val="24"/>
        </w:rPr>
      </w:pPr>
      <w:r>
        <w:rPr>
          <w:sz w:val="24"/>
          <w:szCs w:val="24"/>
        </w:rPr>
        <w:t>Locally</w:t>
      </w:r>
      <w:r w:rsidR="005F16A7">
        <w:rPr>
          <w:sz w:val="24"/>
          <w:szCs w:val="24"/>
        </w:rPr>
        <w:t>-driven curriculum and delivery;</w:t>
      </w:r>
    </w:p>
    <w:p w:rsidR="00C42014" w:rsidRDefault="00C42014" w:rsidP="00C42014">
      <w:pPr>
        <w:pStyle w:val="ListParagraph"/>
        <w:numPr>
          <w:ilvl w:val="0"/>
          <w:numId w:val="7"/>
        </w:numPr>
        <w:rPr>
          <w:sz w:val="24"/>
          <w:szCs w:val="24"/>
        </w:rPr>
      </w:pPr>
      <w:r>
        <w:rPr>
          <w:sz w:val="24"/>
          <w:szCs w:val="24"/>
        </w:rPr>
        <w:t>Performance-based funding connected to in</w:t>
      </w:r>
      <w:r w:rsidR="005F16A7">
        <w:rPr>
          <w:sz w:val="24"/>
          <w:szCs w:val="24"/>
        </w:rPr>
        <w:t>dustry demand and job placement; and</w:t>
      </w:r>
    </w:p>
    <w:p w:rsidR="00C42014" w:rsidRPr="00C42014" w:rsidRDefault="005F16A7" w:rsidP="00C42014">
      <w:pPr>
        <w:pStyle w:val="ListParagraph"/>
        <w:numPr>
          <w:ilvl w:val="0"/>
          <w:numId w:val="7"/>
        </w:numPr>
        <w:rPr>
          <w:sz w:val="24"/>
          <w:szCs w:val="24"/>
        </w:rPr>
      </w:pPr>
      <w:r>
        <w:rPr>
          <w:sz w:val="24"/>
          <w:szCs w:val="24"/>
        </w:rPr>
        <w:t>Utilizing</w:t>
      </w:r>
      <w:r w:rsidR="00C42014">
        <w:rPr>
          <w:sz w:val="24"/>
          <w:szCs w:val="24"/>
        </w:rPr>
        <w:t xml:space="preserve"> a phased-in approach over the next five years.</w:t>
      </w:r>
    </w:p>
    <w:p w:rsidR="00542E1C" w:rsidRDefault="00542E1C" w:rsidP="00542E1C">
      <w:pPr>
        <w:rPr>
          <w:b/>
          <w:sz w:val="24"/>
          <w:szCs w:val="24"/>
        </w:rPr>
      </w:pPr>
    </w:p>
    <w:p w:rsidR="00542E1C" w:rsidRPr="00542E1C" w:rsidRDefault="00542E1C" w:rsidP="00542E1C">
      <w:pPr>
        <w:rPr>
          <w:sz w:val="24"/>
          <w:szCs w:val="24"/>
          <w:u w:val="single"/>
        </w:rPr>
      </w:pPr>
      <w:bookmarkStart w:id="0" w:name="_GoBack"/>
      <w:bookmarkEnd w:id="0"/>
    </w:p>
    <w:sectPr w:rsidR="00542E1C" w:rsidRPr="00542E1C" w:rsidSect="00E5718B">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0B6F"/>
    <w:multiLevelType w:val="hybridMultilevel"/>
    <w:tmpl w:val="78C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C7D33"/>
    <w:multiLevelType w:val="hybridMultilevel"/>
    <w:tmpl w:val="D14C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1144B7"/>
    <w:multiLevelType w:val="hybridMultilevel"/>
    <w:tmpl w:val="989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468CD"/>
    <w:multiLevelType w:val="hybridMultilevel"/>
    <w:tmpl w:val="A4C0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146EC4"/>
    <w:multiLevelType w:val="hybridMultilevel"/>
    <w:tmpl w:val="276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270CF"/>
    <w:multiLevelType w:val="hybridMultilevel"/>
    <w:tmpl w:val="96F4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411DB"/>
    <w:multiLevelType w:val="hybridMultilevel"/>
    <w:tmpl w:val="F800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EA"/>
    <w:rsid w:val="0001579F"/>
    <w:rsid w:val="000565F7"/>
    <w:rsid w:val="000B4892"/>
    <w:rsid w:val="00176F64"/>
    <w:rsid w:val="00186964"/>
    <w:rsid w:val="001A0CAD"/>
    <w:rsid w:val="0022606F"/>
    <w:rsid w:val="00347AE8"/>
    <w:rsid w:val="00351539"/>
    <w:rsid w:val="003E4703"/>
    <w:rsid w:val="003F0E62"/>
    <w:rsid w:val="004B7CCD"/>
    <w:rsid w:val="00511FC0"/>
    <w:rsid w:val="005317AC"/>
    <w:rsid w:val="00542E1C"/>
    <w:rsid w:val="005F09A3"/>
    <w:rsid w:val="005F16A7"/>
    <w:rsid w:val="00665E1A"/>
    <w:rsid w:val="0069400B"/>
    <w:rsid w:val="006D3BC0"/>
    <w:rsid w:val="007171B2"/>
    <w:rsid w:val="00763D36"/>
    <w:rsid w:val="0080280E"/>
    <w:rsid w:val="008B584C"/>
    <w:rsid w:val="0096156C"/>
    <w:rsid w:val="009F77A5"/>
    <w:rsid w:val="00A14825"/>
    <w:rsid w:val="00C42014"/>
    <w:rsid w:val="00D114EA"/>
    <w:rsid w:val="00D3206C"/>
    <w:rsid w:val="00E5718B"/>
    <w:rsid w:val="00E87978"/>
    <w:rsid w:val="00ED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15725CC-9558-49F4-9A44-B00DE8E4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Jo Carole (LRC)</dc:creator>
  <cp:keywords/>
  <dc:description/>
  <cp:lastModifiedBy>Ellis, Jo Carole (LRC)</cp:lastModifiedBy>
  <cp:revision>3</cp:revision>
  <cp:lastPrinted>2019-11-20T14:10:00Z</cp:lastPrinted>
  <dcterms:created xsi:type="dcterms:W3CDTF">2019-11-20T14:09:00Z</dcterms:created>
  <dcterms:modified xsi:type="dcterms:W3CDTF">2019-11-20T14:13:00Z</dcterms:modified>
</cp:coreProperties>
</file>