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2780" w14:textId="2161EEE2" w:rsidR="00CC7ABF" w:rsidRPr="005220A7" w:rsidRDefault="00CC7ABF" w:rsidP="005220A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National Association of Scholars </w:t>
      </w:r>
      <w:r w:rsidR="00052B7E" w:rsidRPr="006F397F">
        <w:rPr>
          <w:rFonts w:ascii="Times New Roman" w:hAnsi="Times New Roman" w:cs="Times New Roman"/>
        </w:rPr>
        <w:t>generally recommend</w:t>
      </w:r>
      <w:r>
        <w:rPr>
          <w:rFonts w:ascii="Times New Roman" w:hAnsi="Times New Roman" w:cs="Times New Roman"/>
        </w:rPr>
        <w:t>s</w:t>
      </w:r>
      <w:r w:rsidR="00052B7E" w:rsidRPr="006F3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Kentucky policymakers who wish to reform higher education examine </w:t>
      </w:r>
      <w:r w:rsidR="00052B7E" w:rsidRPr="006F397F">
        <w:rPr>
          <w:rFonts w:ascii="Times New Roman" w:hAnsi="Times New Roman" w:cs="Times New Roman"/>
        </w:rPr>
        <w:t>all the model bills in the Civic Alliance’s Model Higher Education Code</w:t>
      </w:r>
      <w:r w:rsidR="00824984" w:rsidRPr="006F397F">
        <w:rPr>
          <w:rFonts w:ascii="Times New Roman" w:hAnsi="Times New Roman" w:cs="Times New Roman"/>
        </w:rPr>
        <w:t>.</w:t>
      </w:r>
      <w:r w:rsidRPr="001A7969">
        <w:rPr>
          <w:rFonts w:ascii="Times New Roman" w:hAnsi="Times New Roman" w:cs="Times New Roman"/>
          <w:vertAlign w:val="superscript"/>
        </w:rPr>
        <w:endnoteReference w:id="1"/>
      </w:r>
      <w:r w:rsidRPr="006F3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particularly recommend that they look at our model </w:t>
      </w:r>
      <w:r>
        <w:rPr>
          <w:rFonts w:ascii="Times New Roman" w:hAnsi="Times New Roman" w:cs="Times New Roman"/>
          <w:b/>
          <w:bCs/>
        </w:rPr>
        <w:t>School of Intellectual Freedom Act</w:t>
      </w:r>
      <w:r>
        <w:rPr>
          <w:rFonts w:ascii="Times New Roman" w:hAnsi="Times New Roman" w:cs="Times New Roman"/>
        </w:rPr>
        <w:t>.</w:t>
      </w:r>
      <w:r w:rsidRPr="001A7969">
        <w:rPr>
          <w:rFonts w:ascii="Times New Roman" w:hAnsi="Times New Roman" w:cs="Times New Roman"/>
          <w:vertAlign w:val="superscript"/>
        </w:rPr>
        <w:endnoteReference w:id="2"/>
      </w:r>
      <w:r>
        <w:rPr>
          <w:rFonts w:ascii="Times New Roman" w:hAnsi="Times New Roman" w:cs="Times New Roman"/>
        </w:rPr>
        <w:t xml:space="preserve"> This model act has informed Ohio policymakers, who </w:t>
      </w:r>
      <w:r w:rsidR="005220A7">
        <w:rPr>
          <w:rFonts w:ascii="Times New Roman" w:hAnsi="Times New Roman" w:cs="Times New Roman"/>
        </w:rPr>
        <w:t xml:space="preserve">passed into law as part of </w:t>
      </w:r>
      <w:r>
        <w:rPr>
          <w:rFonts w:ascii="Times New Roman" w:hAnsi="Times New Roman" w:cs="Times New Roman"/>
        </w:rPr>
        <w:t>their</w:t>
      </w:r>
      <w:r w:rsidR="005220A7">
        <w:rPr>
          <w:rFonts w:ascii="Times New Roman" w:hAnsi="Times New Roman" w:cs="Times New Roman"/>
        </w:rPr>
        <w:t xml:space="preserve"> 2023 Budget authorization for five independent Centers, devoted to intellectual diversity, freedom, and the American heritage.</w:t>
      </w:r>
      <w:r w:rsidRPr="001A7969">
        <w:rPr>
          <w:rFonts w:ascii="Times New Roman" w:hAnsi="Times New Roman" w:cs="Times New Roman"/>
          <w:vertAlign w:val="superscript"/>
        </w:rPr>
        <w:endnoteReference w:id="3"/>
      </w:r>
    </w:p>
    <w:p w14:paraId="5D2F20C6" w14:textId="31C6F1EF" w:rsidR="00CC7ABF" w:rsidRDefault="00CC7ABF" w:rsidP="004817A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Ohio Senate Bill 83, which passed the Ohio Senate in June 2023, and will be considered b</w:t>
      </w:r>
      <w:bookmarkStart w:id="0" w:name="_GoBack"/>
      <w:bookmarkEnd w:id="0"/>
      <w:r>
        <w:rPr>
          <w:rFonts w:ascii="Times New Roman" w:hAnsi="Times New Roman" w:cs="Times New Roman"/>
        </w:rPr>
        <w:t>y the Ohio House in the Fall 2023 session, also has been informed by several bills within the Model Higher Education Code.</w:t>
      </w:r>
      <w:r w:rsidRPr="001A7969">
        <w:rPr>
          <w:rFonts w:ascii="Times New Roman" w:hAnsi="Times New Roman" w:cs="Times New Roman"/>
          <w:vertAlign w:val="superscript"/>
        </w:rPr>
        <w:endnoteReference w:id="4"/>
      </w:r>
      <w:r>
        <w:rPr>
          <w:rFonts w:ascii="Times New Roman" w:hAnsi="Times New Roman" w:cs="Times New Roman"/>
        </w:rPr>
        <w:t xml:space="preserve"> </w:t>
      </w:r>
      <w:r w:rsidRPr="006F397F">
        <w:rPr>
          <w:rFonts w:ascii="Times New Roman" w:hAnsi="Times New Roman" w:cs="Times New Roman"/>
        </w:rPr>
        <w:t>We believe that the</w:t>
      </w:r>
      <w:r>
        <w:rPr>
          <w:rFonts w:ascii="Times New Roman" w:hAnsi="Times New Roman" w:cs="Times New Roman"/>
        </w:rPr>
        <w:t xml:space="preserve">se </w:t>
      </w:r>
      <w:r w:rsidRPr="006F397F">
        <w:rPr>
          <w:rFonts w:ascii="Times New Roman" w:hAnsi="Times New Roman" w:cs="Times New Roman"/>
        </w:rPr>
        <w:t xml:space="preserve">bills would be particularly helpful for reforming </w:t>
      </w:r>
      <w:r>
        <w:rPr>
          <w:rFonts w:ascii="Times New Roman" w:hAnsi="Times New Roman" w:cs="Times New Roman"/>
        </w:rPr>
        <w:t>Kentucky</w:t>
      </w:r>
      <w:r w:rsidRPr="006F397F">
        <w:rPr>
          <w:rFonts w:ascii="Times New Roman" w:hAnsi="Times New Roman" w:cs="Times New Roman"/>
        </w:rPr>
        <w:t>’s public universities</w:t>
      </w:r>
      <w:r>
        <w:rPr>
          <w:rFonts w:ascii="Times New Roman" w:hAnsi="Times New Roman" w:cs="Times New Roman"/>
        </w:rPr>
        <w:t xml:space="preserve">, as they further institutionalize </w:t>
      </w:r>
      <w:r>
        <w:rPr>
          <w:rFonts w:ascii="Times New Roman" w:hAnsi="Times New Roman" w:cs="Times New Roman"/>
          <w:i/>
          <w:iCs/>
        </w:rPr>
        <w:t>transparency, accountability, depoliticization, nondiscrimination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i/>
          <w:iCs/>
        </w:rPr>
        <w:t>civic knowledge</w:t>
      </w:r>
      <w:r>
        <w:rPr>
          <w:rFonts w:ascii="Times New Roman" w:hAnsi="Times New Roman" w:cs="Times New Roman"/>
        </w:rPr>
        <w:t>.</w:t>
      </w:r>
    </w:p>
    <w:p w14:paraId="2998A392" w14:textId="635D3B30" w:rsidR="00CC7ABF" w:rsidRPr="0071126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CC7ABF">
        <w:rPr>
          <w:rFonts w:ascii="Times New Roman" w:hAnsi="Times New Roman" w:cs="Times New Roman"/>
          <w:b/>
          <w:bCs/>
        </w:rPr>
        <w:t>Mission Statement Act</w:t>
      </w:r>
      <w:r>
        <w:rPr>
          <w:rFonts w:ascii="Times New Roman" w:hAnsi="Times New Roman" w:cs="Times New Roman"/>
        </w:rPr>
        <w:t xml:space="preserve"> </w:t>
      </w:r>
      <w:r w:rsidRPr="004B3638">
        <w:rPr>
          <w:rFonts w:ascii="Times New Roman" w:hAnsi="Times New Roman" w:cs="Times New Roman"/>
        </w:rPr>
        <w:t>commits every component of the public university system to the free and un</w:t>
      </w:r>
      <w:r>
        <w:rPr>
          <w:rFonts w:ascii="Times New Roman" w:hAnsi="Times New Roman" w:cs="Times New Roman"/>
        </w:rPr>
        <w:t>-</w:t>
      </w:r>
      <w:r w:rsidRPr="004B3638">
        <w:rPr>
          <w:rFonts w:ascii="Times New Roman" w:hAnsi="Times New Roman" w:cs="Times New Roman"/>
        </w:rPr>
        <w:t>politicized pursuit of truth.</w:t>
      </w:r>
      <w:r w:rsidRPr="001A7969">
        <w:rPr>
          <w:rFonts w:ascii="Times New Roman" w:hAnsi="Times New Roman" w:cs="Times New Roman"/>
          <w:vertAlign w:val="superscript"/>
        </w:rPr>
        <w:endnoteReference w:id="5"/>
      </w:r>
      <w:r>
        <w:rPr>
          <w:rFonts w:ascii="Times New Roman" w:hAnsi="Times New Roman" w:cs="Times New Roman"/>
        </w:rPr>
        <w:t xml:space="preserve"> </w:t>
      </w:r>
    </w:p>
    <w:p w14:paraId="7EA52D23" w14:textId="4BDA43E6" w:rsidR="00CC7ABF" w:rsidRPr="0071126F" w:rsidRDefault="00CC7ABF" w:rsidP="00CC7ABF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1126F">
        <w:rPr>
          <w:rFonts w:ascii="Times New Roman" w:hAnsi="Times New Roman" w:cs="Times New Roman"/>
        </w:rPr>
        <w:t xml:space="preserve">The </w:t>
      </w:r>
      <w:r w:rsidRPr="00CC7ABF">
        <w:rPr>
          <w:rFonts w:ascii="Times New Roman" w:hAnsi="Times New Roman" w:cs="Times New Roman"/>
          <w:b/>
          <w:bCs/>
        </w:rPr>
        <w:t>Campus Intellectual Diversity Act</w:t>
      </w:r>
      <w:r w:rsidRPr="0071126F">
        <w:rPr>
          <w:rFonts w:ascii="Times New Roman" w:hAnsi="Times New Roman" w:cs="Times New Roman"/>
        </w:rPr>
        <w:t xml:space="preserve"> mandates institutional neutrality, prohibits political discrimination, </w:t>
      </w:r>
      <w:r>
        <w:rPr>
          <w:rFonts w:ascii="Times New Roman" w:hAnsi="Times New Roman" w:cs="Times New Roman"/>
        </w:rPr>
        <w:t xml:space="preserve">and </w:t>
      </w:r>
      <w:r w:rsidRPr="0071126F">
        <w:rPr>
          <w:rFonts w:ascii="Times New Roman" w:hAnsi="Times New Roman" w:cs="Times New Roman"/>
        </w:rPr>
        <w:t>protects intellectual diversity.</w:t>
      </w:r>
      <w:r w:rsidRPr="001A7969">
        <w:rPr>
          <w:rFonts w:ascii="Times New Roman" w:hAnsi="Times New Roman" w:cs="Times New Roman"/>
          <w:vertAlign w:val="superscript"/>
        </w:rPr>
        <w:endnoteReference w:id="6"/>
      </w:r>
      <w:r>
        <w:rPr>
          <w:rFonts w:ascii="Times New Roman" w:hAnsi="Times New Roman" w:cs="Times New Roman"/>
        </w:rPr>
        <w:t xml:space="preserve"> </w:t>
      </w:r>
    </w:p>
    <w:p w14:paraId="0A607940" w14:textId="39592C02" w:rsidR="00CC7AB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 w:rsidRPr="0071126F">
        <w:rPr>
          <w:rFonts w:ascii="Times New Roman" w:hAnsi="Times New Roman" w:cs="Times New Roman"/>
        </w:rPr>
        <w:t xml:space="preserve">The </w:t>
      </w:r>
      <w:r w:rsidRPr="00CC7ABF">
        <w:rPr>
          <w:rFonts w:ascii="Times New Roman" w:hAnsi="Times New Roman" w:cs="Times New Roman"/>
          <w:b/>
          <w:bCs/>
        </w:rPr>
        <w:t>Syllabus Transparency Act</w:t>
      </w:r>
      <w:r w:rsidRPr="0071126F">
        <w:rPr>
          <w:rFonts w:ascii="Times New Roman" w:hAnsi="Times New Roman" w:cs="Times New Roman"/>
        </w:rPr>
        <w:t xml:space="preserve"> requires public universities to</w:t>
      </w:r>
      <w:r w:rsidRPr="006F397F">
        <w:rPr>
          <w:rFonts w:ascii="Times New Roman" w:hAnsi="Times New Roman" w:cs="Times New Roman"/>
        </w:rPr>
        <w:t xml:space="preserve"> post on the university website</w:t>
      </w:r>
      <w:r w:rsidRPr="00D6596A">
        <w:rPr>
          <w:rFonts w:ascii="Times New Roman" w:hAnsi="Times New Roman" w:cs="Times New Roman"/>
        </w:rPr>
        <w:t xml:space="preserve"> </w:t>
      </w:r>
      <w:r w:rsidRPr="006F397F">
        <w:rPr>
          <w:rFonts w:ascii="Times New Roman" w:hAnsi="Times New Roman" w:cs="Times New Roman"/>
        </w:rPr>
        <w:t>the syllabus of every undergraduate course.</w:t>
      </w:r>
      <w:r w:rsidRPr="001A7969">
        <w:rPr>
          <w:rFonts w:ascii="Times New Roman" w:hAnsi="Times New Roman" w:cs="Times New Roman"/>
          <w:vertAlign w:val="superscript"/>
        </w:rPr>
        <w:endnoteReference w:id="7"/>
      </w:r>
      <w:r>
        <w:rPr>
          <w:rFonts w:ascii="Times New Roman" w:hAnsi="Times New Roman" w:cs="Times New Roman"/>
        </w:rPr>
        <w:t xml:space="preserve"> </w:t>
      </w:r>
    </w:p>
    <w:p w14:paraId="0E01C137" w14:textId="2E060E23" w:rsidR="00CC7AB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 w:rsidRPr="006F397F">
        <w:rPr>
          <w:rFonts w:ascii="Times New Roman" w:hAnsi="Times New Roman" w:cs="Times New Roman"/>
        </w:rPr>
        <w:t>The </w:t>
      </w:r>
      <w:r w:rsidRPr="00CC7ABF">
        <w:rPr>
          <w:rFonts w:ascii="Times New Roman" w:hAnsi="Times New Roman" w:cs="Times New Roman"/>
          <w:b/>
          <w:bCs/>
        </w:rPr>
        <w:t>American History Act</w:t>
      </w:r>
      <w:r w:rsidRPr="006F397F">
        <w:rPr>
          <w:rFonts w:ascii="Times New Roman" w:hAnsi="Times New Roman" w:cs="Times New Roman"/>
        </w:rPr>
        <w:t> adds an American History and Government general education requirement to public universities.</w:t>
      </w:r>
      <w:r w:rsidRPr="001A7969">
        <w:rPr>
          <w:rFonts w:ascii="Times New Roman" w:hAnsi="Times New Roman" w:cs="Times New Roman"/>
          <w:vertAlign w:val="superscript"/>
        </w:rPr>
        <w:endnoteReference w:id="8"/>
      </w:r>
      <w:r>
        <w:rPr>
          <w:rFonts w:ascii="Times New Roman" w:hAnsi="Times New Roman" w:cs="Times New Roman"/>
        </w:rPr>
        <w:t xml:space="preserve"> </w:t>
      </w:r>
    </w:p>
    <w:p w14:paraId="4CF51761" w14:textId="38316D7B" w:rsidR="00CC7ABF" w:rsidRPr="006F397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CC7ABF">
        <w:rPr>
          <w:rFonts w:ascii="Times New Roman" w:hAnsi="Times New Roman" w:cs="Times New Roman"/>
          <w:b/>
          <w:bCs/>
        </w:rPr>
        <w:t>Chinese Influence Transparency Act</w:t>
      </w:r>
      <w:r>
        <w:rPr>
          <w:rFonts w:ascii="Times New Roman" w:hAnsi="Times New Roman" w:cs="Times New Roman"/>
        </w:rPr>
        <w:t xml:space="preserve"> prohibits state institutions of higher education from accepting funds from the People’s Republic of China.</w:t>
      </w:r>
      <w:r w:rsidRPr="001A7969">
        <w:rPr>
          <w:rFonts w:ascii="Times New Roman" w:hAnsi="Times New Roman" w:cs="Times New Roman"/>
          <w:vertAlign w:val="superscript"/>
        </w:rPr>
        <w:endnoteReference w:id="9"/>
      </w:r>
    </w:p>
    <w:p w14:paraId="51AB5948" w14:textId="7AE65ADE" w:rsidR="00CC7ABF" w:rsidRPr="006F397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  <w:bCs/>
        </w:rPr>
        <w:t xml:space="preserve"> </w:t>
      </w:r>
      <w:r w:rsidRPr="00CC7ABF">
        <w:rPr>
          <w:rFonts w:ascii="Times New Roman" w:hAnsi="Times New Roman" w:cs="Times New Roman"/>
          <w:b/>
          <w:bCs/>
        </w:rPr>
        <w:t>College Finances Act</w:t>
      </w:r>
      <w:r w:rsidRPr="006F397F">
        <w:rPr>
          <w:rFonts w:ascii="Times New Roman" w:hAnsi="Times New Roman" w:cs="Times New Roman"/>
        </w:rPr>
        <w:t xml:space="preserve"> requires </w:t>
      </w:r>
      <w:r>
        <w:rPr>
          <w:rFonts w:ascii="Times New Roman" w:hAnsi="Times New Roman" w:cs="Times New Roman"/>
        </w:rPr>
        <w:t>e</w:t>
      </w:r>
      <w:r w:rsidRPr="004F532E">
        <w:rPr>
          <w:rFonts w:ascii="Times New Roman" w:hAnsi="Times New Roman" w:cs="Times New Roman"/>
        </w:rPr>
        <w:t xml:space="preserve">ach </w:t>
      </w:r>
      <w:r>
        <w:rPr>
          <w:rFonts w:ascii="Times New Roman" w:hAnsi="Times New Roman" w:cs="Times New Roman"/>
        </w:rPr>
        <w:t xml:space="preserve">public </w:t>
      </w:r>
      <w:r w:rsidRPr="004F532E">
        <w:rPr>
          <w:rFonts w:ascii="Times New Roman" w:hAnsi="Times New Roman" w:cs="Times New Roman"/>
        </w:rPr>
        <w:t xml:space="preserve">institution of higher education </w:t>
      </w:r>
      <w:r w:rsidRPr="006F397F">
        <w:rPr>
          <w:rFonts w:ascii="Times New Roman" w:hAnsi="Times New Roman" w:cs="Times New Roman"/>
        </w:rPr>
        <w:t>to post on the university website</w:t>
      </w:r>
      <w:r w:rsidRPr="00D6596A">
        <w:rPr>
          <w:rFonts w:ascii="Times New Roman" w:hAnsi="Times New Roman" w:cs="Times New Roman"/>
        </w:rPr>
        <w:t xml:space="preserve"> </w:t>
      </w:r>
      <w:r w:rsidRPr="004F532E">
        <w:rPr>
          <w:rFonts w:ascii="Times New Roman" w:hAnsi="Times New Roman" w:cs="Times New Roman"/>
        </w:rPr>
        <w:t>all budgets, expenditures, vendors, and contracts</w:t>
      </w:r>
      <w:r w:rsidRPr="006F397F">
        <w:rPr>
          <w:rFonts w:ascii="Times New Roman" w:hAnsi="Times New Roman" w:cs="Times New Roman"/>
        </w:rPr>
        <w:t>.</w:t>
      </w:r>
      <w:r w:rsidRPr="001A7969">
        <w:rPr>
          <w:rFonts w:ascii="Times New Roman" w:hAnsi="Times New Roman" w:cs="Times New Roman"/>
          <w:vertAlign w:val="superscript"/>
        </w:rPr>
        <w:endnoteReference w:id="10"/>
      </w:r>
    </w:p>
    <w:p w14:paraId="09A56126" w14:textId="1D1175EE" w:rsidR="00CC7ABF" w:rsidRDefault="00CC7ABF" w:rsidP="00CC7ABF">
      <w:pPr>
        <w:spacing w:after="120"/>
        <w:jc w:val="both"/>
        <w:rPr>
          <w:rFonts w:ascii="Times New Roman" w:hAnsi="Times New Roman" w:cs="Times New Roman"/>
        </w:rPr>
      </w:pPr>
      <w:r w:rsidRPr="006F397F">
        <w:rPr>
          <w:rFonts w:ascii="Times New Roman" w:hAnsi="Times New Roman" w:cs="Times New Roman"/>
        </w:rPr>
        <w:t xml:space="preserve">The </w:t>
      </w:r>
      <w:r w:rsidRPr="00CC7ABF">
        <w:rPr>
          <w:rFonts w:ascii="Times New Roman" w:hAnsi="Times New Roman" w:cs="Times New Roman"/>
          <w:b/>
          <w:bCs/>
        </w:rPr>
        <w:t>Universities Nondiscrimination Act</w:t>
      </w:r>
      <w:r w:rsidRPr="006F397F">
        <w:rPr>
          <w:rFonts w:ascii="Times New Roman" w:hAnsi="Times New Roman" w:cs="Times New Roman"/>
        </w:rPr>
        <w:t xml:space="preserve"> prohibits universities from discriminating by race, sex, or other group identity</w:t>
      </w:r>
      <w:r w:rsidR="00CB03F5">
        <w:rPr>
          <w:rFonts w:ascii="Times New Roman" w:hAnsi="Times New Roman" w:cs="Times New Roman"/>
        </w:rPr>
        <w:t xml:space="preserve"> and </w:t>
      </w:r>
      <w:r w:rsidRPr="006F397F">
        <w:rPr>
          <w:rFonts w:ascii="Times New Roman" w:hAnsi="Times New Roman" w:cs="Times New Roman"/>
        </w:rPr>
        <w:t>prohibits discriminatory concepts in administrative trainings.</w:t>
      </w:r>
      <w:r w:rsidRPr="001A7969">
        <w:rPr>
          <w:rFonts w:ascii="Times New Roman" w:hAnsi="Times New Roman" w:cs="Times New Roman"/>
          <w:vertAlign w:val="superscript"/>
        </w:rPr>
        <w:endnoteReference w:id="11"/>
      </w:r>
    </w:p>
    <w:p w14:paraId="44E6DE4C" w14:textId="0BE29FDA" w:rsidR="00CC7ABF" w:rsidRDefault="00CC7ABF" w:rsidP="00A87536">
      <w:pPr>
        <w:pStyle w:val="NormalWeb"/>
        <w:spacing w:before="0" w:beforeAutospacing="0" w:after="12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We also urge Kentucky lawmakers to inspect and consider our model legislation in our </w:t>
      </w:r>
      <w:r w:rsidRPr="00BA083A">
        <w:rPr>
          <w:rFonts w:eastAsiaTheme="minorHAnsi"/>
          <w:b/>
          <w:bCs/>
        </w:rPr>
        <w:t>Model K-12 Civics Code</w:t>
      </w:r>
      <w:r>
        <w:rPr>
          <w:rFonts w:eastAsiaTheme="minorHAnsi"/>
        </w:rPr>
        <w:t>,</w:t>
      </w:r>
      <w:r w:rsidRPr="001A7969">
        <w:rPr>
          <w:vertAlign w:val="superscript"/>
        </w:rPr>
        <w:endnoteReference w:id="12"/>
      </w:r>
      <w:r>
        <w:rPr>
          <w:rFonts w:eastAsiaTheme="minorHAnsi"/>
        </w:rPr>
        <w:t xml:space="preserve"> our </w:t>
      </w:r>
      <w:r w:rsidRPr="00BA083A">
        <w:rPr>
          <w:rFonts w:eastAsiaTheme="minorHAnsi"/>
          <w:b/>
          <w:bCs/>
        </w:rPr>
        <w:t>Model Education Licensure Code</w:t>
      </w:r>
      <w:r>
        <w:rPr>
          <w:rFonts w:eastAsiaTheme="minorHAnsi"/>
        </w:rPr>
        <w:t>,</w:t>
      </w:r>
      <w:r w:rsidRPr="001A7969">
        <w:rPr>
          <w:vertAlign w:val="superscript"/>
        </w:rPr>
        <w:endnoteReference w:id="13"/>
      </w:r>
      <w:r>
        <w:rPr>
          <w:rFonts w:eastAsiaTheme="minorHAnsi"/>
        </w:rPr>
        <w:t xml:space="preserve"> and our </w:t>
      </w:r>
      <w:r w:rsidRPr="00BA083A">
        <w:rPr>
          <w:rFonts w:eastAsiaTheme="minorHAnsi"/>
          <w:b/>
          <w:bCs/>
        </w:rPr>
        <w:t>Model Accreditation and Licensure Code</w:t>
      </w:r>
      <w:r>
        <w:rPr>
          <w:rFonts w:eastAsiaTheme="minorHAnsi"/>
        </w:rPr>
        <w:t>.</w:t>
      </w:r>
      <w:r w:rsidRPr="001A7969">
        <w:rPr>
          <w:vertAlign w:val="superscript"/>
        </w:rPr>
        <w:endnoteReference w:id="14"/>
      </w:r>
      <w:r>
        <w:rPr>
          <w:rFonts w:eastAsiaTheme="minorHAnsi"/>
        </w:rPr>
        <w:t xml:space="preserve"> We particularly urge Kentucky lawmakers to consider these four measures:</w:t>
      </w:r>
    </w:p>
    <w:p w14:paraId="3BD45B9E" w14:textId="2BDA0106" w:rsidR="00CC7ABF" w:rsidRPr="005561EA" w:rsidRDefault="00CC7ABF" w:rsidP="00CC7ABF">
      <w:pPr>
        <w:pStyle w:val="NormalWeb"/>
        <w:spacing w:before="0" w:beforeAutospacing="0" w:after="120" w:afterAutospacing="0"/>
        <w:jc w:val="both"/>
        <w:rPr>
          <w:rFonts w:eastAsiaTheme="minorHAnsi"/>
        </w:rPr>
      </w:pPr>
      <w:r w:rsidRPr="005561EA">
        <w:rPr>
          <w:rFonts w:eastAsiaTheme="minorHAnsi"/>
        </w:rPr>
        <w:t xml:space="preserve">The </w:t>
      </w:r>
      <w:r w:rsidRPr="00CC7ABF">
        <w:rPr>
          <w:rFonts w:eastAsiaTheme="minorHAnsi"/>
          <w:b/>
          <w:bCs/>
        </w:rPr>
        <w:t>Partisanship Out of Civics Act</w:t>
      </w:r>
      <w:r w:rsidRPr="005561EA">
        <w:rPr>
          <w:rFonts w:eastAsiaTheme="minorHAnsi"/>
        </w:rPr>
        <w:t xml:space="preserve"> prevents teachers from giving credit to action civics in history, government, civics, or social studies. It also bars civics classes from using Critical Race Theory.</w:t>
      </w:r>
      <w:r w:rsidRPr="001A7969">
        <w:rPr>
          <w:vertAlign w:val="superscript"/>
        </w:rPr>
        <w:endnoteReference w:id="15"/>
      </w:r>
      <w:r>
        <w:rPr>
          <w:rFonts w:eastAsiaTheme="minorHAnsi"/>
        </w:rPr>
        <w:t xml:space="preserve"> This act informed Texas SB 3, which passed into law in 2021.</w:t>
      </w:r>
      <w:r w:rsidRPr="001A7969">
        <w:rPr>
          <w:vertAlign w:val="superscript"/>
        </w:rPr>
        <w:endnoteReference w:id="16"/>
      </w:r>
    </w:p>
    <w:p w14:paraId="6930654A" w14:textId="168B9BFD" w:rsidR="00CC7ABF" w:rsidRDefault="00CC7ABF" w:rsidP="00CC7ABF">
      <w:pPr>
        <w:pStyle w:val="NormalWeb"/>
        <w:spacing w:before="0" w:beforeAutospacing="0" w:after="120" w:afterAutospacing="0"/>
        <w:jc w:val="both"/>
        <w:rPr>
          <w:rFonts w:eastAsiaTheme="minorHAnsi"/>
        </w:rPr>
      </w:pPr>
      <w:r w:rsidRPr="00AC6711">
        <w:rPr>
          <w:rFonts w:eastAsiaTheme="minorHAnsi"/>
        </w:rPr>
        <w:t xml:space="preserve">The </w:t>
      </w:r>
      <w:r w:rsidRPr="00CC7ABF">
        <w:rPr>
          <w:rFonts w:eastAsiaTheme="minorHAnsi"/>
          <w:b/>
          <w:bCs/>
        </w:rPr>
        <w:t>American Birthright Taskforce Act</w:t>
      </w:r>
      <w:r w:rsidRPr="00AC6711">
        <w:rPr>
          <w:rFonts w:eastAsiaTheme="minorHAnsi"/>
        </w:rPr>
        <w:t xml:space="preserve"> creates a social studies task force</w:t>
      </w:r>
      <w:r w:rsidR="00CB03F5">
        <w:rPr>
          <w:rFonts w:eastAsiaTheme="minorHAnsi"/>
        </w:rPr>
        <w:t xml:space="preserve"> </w:t>
      </w:r>
      <w:r w:rsidRPr="00AC6711">
        <w:rPr>
          <w:rFonts w:eastAsiaTheme="minorHAnsi"/>
        </w:rPr>
        <w:t xml:space="preserve">to draft social studies standards based on </w:t>
      </w:r>
      <w:r w:rsidRPr="00AC6711">
        <w:rPr>
          <w:rFonts w:eastAsiaTheme="minorHAnsi"/>
          <w:i/>
          <w:iCs/>
        </w:rPr>
        <w:t>American Birthright: The Civics Alliance’s K-12 Social Studies Task Force</w:t>
      </w:r>
      <w:r w:rsidRPr="00AC6711">
        <w:rPr>
          <w:rFonts w:eastAsiaTheme="minorHAnsi"/>
        </w:rPr>
        <w:t>.</w:t>
      </w:r>
      <w:r w:rsidRPr="001A7969">
        <w:rPr>
          <w:vertAlign w:val="superscript"/>
        </w:rPr>
        <w:endnoteReference w:id="17"/>
      </w:r>
      <w:r>
        <w:rPr>
          <w:rFonts w:eastAsiaTheme="minorHAnsi"/>
        </w:rPr>
        <w:t xml:space="preserve"> </w:t>
      </w:r>
    </w:p>
    <w:p w14:paraId="0FCCBD65" w14:textId="2BFDEF9A" w:rsidR="00CC7ABF" w:rsidRDefault="00CC7ABF" w:rsidP="00CC7ABF">
      <w:pPr>
        <w:pStyle w:val="NormalWeb"/>
        <w:spacing w:before="0" w:beforeAutospacing="0" w:after="120" w:afterAutospacing="0"/>
        <w:jc w:val="both"/>
        <w:rPr>
          <w:rFonts w:eastAsiaTheme="minorHAnsi"/>
        </w:rPr>
      </w:pPr>
      <w:r w:rsidRPr="00AC6711">
        <w:rPr>
          <w:rFonts w:eastAsiaTheme="minorHAnsi"/>
        </w:rPr>
        <w:t xml:space="preserve">The </w:t>
      </w:r>
      <w:r w:rsidRPr="00CC7ABF">
        <w:rPr>
          <w:rFonts w:eastAsiaTheme="minorHAnsi"/>
          <w:b/>
          <w:bCs/>
        </w:rPr>
        <w:t>Education Licensure Nondiscrimination Act</w:t>
      </w:r>
      <w:r w:rsidRPr="00AC6711">
        <w:rPr>
          <w:rFonts w:eastAsiaTheme="minorHAnsi"/>
        </w:rPr>
        <w:t xml:space="preserve"> depoliticiz</w:t>
      </w:r>
      <w:r w:rsidR="00065696">
        <w:rPr>
          <w:rFonts w:eastAsiaTheme="minorHAnsi"/>
        </w:rPr>
        <w:t>es</w:t>
      </w:r>
      <w:r w:rsidRPr="00AC6711">
        <w:rPr>
          <w:rFonts w:eastAsiaTheme="minorHAnsi"/>
        </w:rPr>
        <w:t xml:space="preserve"> education licensure.</w:t>
      </w:r>
      <w:r w:rsidRPr="001A7969">
        <w:rPr>
          <w:vertAlign w:val="superscript"/>
        </w:rPr>
        <w:endnoteReference w:id="18"/>
      </w:r>
    </w:p>
    <w:p w14:paraId="0EAE6A44" w14:textId="4C50C21D" w:rsidR="00CC7ABF" w:rsidRDefault="00CC7ABF" w:rsidP="00CC7ABF">
      <w:pPr>
        <w:pStyle w:val="NormalWeb"/>
        <w:spacing w:before="0" w:beforeAutospacing="0" w:after="120" w:afterAutospacing="0"/>
        <w:jc w:val="both"/>
        <w:rPr>
          <w:vertAlign w:val="superscript"/>
        </w:rPr>
      </w:pPr>
      <w:r w:rsidRPr="00AC6711">
        <w:rPr>
          <w:rFonts w:eastAsiaTheme="minorHAnsi"/>
        </w:rPr>
        <w:t xml:space="preserve">The </w:t>
      </w:r>
      <w:r w:rsidRPr="00CC7ABF">
        <w:rPr>
          <w:rFonts w:eastAsiaTheme="minorHAnsi"/>
          <w:b/>
          <w:bCs/>
        </w:rPr>
        <w:t>Education Licensure Certificate Act</w:t>
      </w:r>
      <w:r w:rsidRPr="00AC6711">
        <w:rPr>
          <w:rFonts w:eastAsiaTheme="minorHAnsi"/>
        </w:rPr>
        <w:t xml:space="preserve"> creates a simplified education licensure pathway, which requires students to take a number of undergraduate courses, focused on subject matter content, as well as a standardized test—and no other requirements.</w:t>
      </w:r>
      <w:r w:rsidRPr="001A7969">
        <w:rPr>
          <w:vertAlign w:val="superscript"/>
        </w:rPr>
        <w:endnoteReference w:id="19"/>
      </w:r>
    </w:p>
    <w:p w14:paraId="09F4F783" w14:textId="5F2A9026" w:rsidR="00FD69B8" w:rsidRPr="00DA0689" w:rsidRDefault="008E4434" w:rsidP="00DA0689">
      <w:pPr>
        <w:pStyle w:val="NormalWeb"/>
        <w:spacing w:before="0" w:beforeAutospacing="0" w:after="120" w:afterAutospacing="0"/>
        <w:jc w:val="both"/>
        <w:rPr>
          <w:vertAlign w:val="superscript"/>
        </w:rPr>
      </w:pPr>
      <w:r>
        <w:rPr>
          <w:rFonts w:eastAsiaTheme="minorHAnsi"/>
        </w:rPr>
        <w:t>We believe that higher education reform will be made most effective when it is accompanied by complementary reforms throughout the education system.</w:t>
      </w:r>
    </w:p>
    <w:sectPr w:rsidR="00FD69B8" w:rsidRPr="00DA0689" w:rsidSect="00C40A9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5D1A" w14:textId="77777777" w:rsidR="00BA73C9" w:rsidRDefault="00BA73C9" w:rsidP="00824984">
      <w:r>
        <w:separator/>
      </w:r>
    </w:p>
  </w:endnote>
  <w:endnote w:type="continuationSeparator" w:id="0">
    <w:p w14:paraId="323F316F" w14:textId="77777777" w:rsidR="00BA73C9" w:rsidRDefault="00BA73C9" w:rsidP="00824984">
      <w:r>
        <w:continuationSeparator/>
      </w:r>
    </w:p>
  </w:endnote>
  <w:endnote w:id="1">
    <w:p w14:paraId="3E50DB68" w14:textId="27747493" w:rsidR="00CC7ABF" w:rsidRPr="007B6482" w:rsidRDefault="00CC7ABF" w:rsidP="00824984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Model Higher Education Code, Civics Alliance, </w:t>
      </w:r>
      <w:hyperlink r:id="rId1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https://civicsalliance.org/model-higher-education-code/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2">
    <w:p w14:paraId="78C6AE9D" w14:textId="77777777" w:rsidR="00CC7ABF" w:rsidRPr="007B6482" w:rsidRDefault="00CC7ABF" w:rsidP="00CC7ABF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School of Intellectual Freedom Act, Civics Alliance, </w:t>
      </w:r>
      <w:hyperlink r:id="rId2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https://civicsalliance.org/school-of-intellectual-freedom-act/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3">
    <w:p w14:paraId="4D6D1571" w14:textId="77777777" w:rsidR="00CC7ABF" w:rsidRPr="007B6482" w:rsidRDefault="00CC7ABF" w:rsidP="005220A7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Legislative language close to the final authorizing language in the Ohio Budget can be found in Ohio Senate Bill 117 (2023-2024), As Passed by the Senate, </w:t>
      </w:r>
      <w:hyperlink r:id="rId3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https://search-prod.lis.state.oh.us/solarapi/v1/general_assembly_135/bills/sb117/PS/02/sb117_02_PS?format=pdf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4">
    <w:p w14:paraId="4B1CF79B" w14:textId="40BB4CCC" w:rsidR="00CC7ABF" w:rsidRPr="007B6482" w:rsidRDefault="00CC7ABF" w:rsidP="00454801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Ohio Senate Bill 83 (2023-2024), As Passed by the Senate, </w:t>
      </w:r>
      <w:hyperlink r:id="rId4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https://search-prod.lis.state.oh.us/solarapi/v1/general_assembly_135/bills/sb83/PS/02/sb83_02_PS?format=pdf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5">
    <w:p w14:paraId="5946C1D3" w14:textId="1315A974" w:rsidR="00CC7ABF" w:rsidRPr="007B6482" w:rsidRDefault="00CC7ABF" w:rsidP="004B3638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Mission Statement Act, Civics Alliance, </w:t>
      </w:r>
      <w:hyperlink r:id="rId5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https://civicsalliance.org/mission-statement-act/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6">
    <w:p w14:paraId="21B7A3F1" w14:textId="12977910" w:rsidR="00CC7ABF" w:rsidRPr="007B6482" w:rsidRDefault="00CC7ABF" w:rsidP="0071126F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Campus Intellectual Diversity Act, Civics Alliance, </w:t>
      </w:r>
      <w:hyperlink r:id="rId6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https://civicsalliance.org/campus-intellectual-diversity-act/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7">
    <w:p w14:paraId="5ACEBD4E" w14:textId="4F2F5B4B" w:rsidR="00CC7ABF" w:rsidRPr="007B6482" w:rsidRDefault="00CC7ABF" w:rsidP="001A7969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Syllabus Transparency Act, Civics Alliance, </w:t>
      </w:r>
      <w:hyperlink r:id="rId7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https://civicsalliance.org/syllabus-transparency-act/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8">
    <w:p w14:paraId="745E0C5B" w14:textId="6FAB0FAC" w:rsidR="00CC7ABF" w:rsidRPr="007B6482" w:rsidRDefault="00CC7ABF" w:rsidP="0071126F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American History Act, Civics Alliance, </w:t>
      </w:r>
      <w:hyperlink r:id="rId8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https://civicsalliance.org/higher-education-civics-reform/american-history-act/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9">
    <w:p w14:paraId="6E248058" w14:textId="3C5133A9" w:rsidR="00CC7ABF" w:rsidRPr="007B6482" w:rsidRDefault="00CC7ABF" w:rsidP="0053088A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Ohio legislation provides original legislative language as it draws upon the spirit of recommendations in </w:t>
      </w:r>
      <w:r w:rsidRPr="007B6482">
        <w:rPr>
          <w:rFonts w:ascii="Times New Roman" w:hAnsi="Times New Roman" w:cs="Times New Roman"/>
          <w:sz w:val="22"/>
          <w:szCs w:val="22"/>
        </w:rPr>
        <w:t xml:space="preserve">Rachelle Peterson, Flora Yan, Ian </w:t>
      </w:r>
      <w:proofErr w:type="spellStart"/>
      <w:r w:rsidRPr="007B6482">
        <w:rPr>
          <w:rFonts w:ascii="Times New Roman" w:hAnsi="Times New Roman" w:cs="Times New Roman"/>
          <w:sz w:val="22"/>
          <w:szCs w:val="22"/>
        </w:rPr>
        <w:t>Oxnevad</w:t>
      </w:r>
      <w:proofErr w:type="spellEnd"/>
      <w:r w:rsidRPr="007B6482">
        <w:rPr>
          <w:rFonts w:ascii="Times New Roman" w:hAnsi="Times New Roman" w:cs="Times New Roman"/>
          <w:sz w:val="22"/>
          <w:szCs w:val="22"/>
        </w:rPr>
        <w:t xml:space="preserve">, </w:t>
      </w:r>
      <w:r w:rsidRPr="007B6482">
        <w:rPr>
          <w:rFonts w:ascii="Times New Roman" w:hAnsi="Times New Roman" w:cs="Times New Roman"/>
          <w:i/>
          <w:iCs/>
          <w:sz w:val="22"/>
          <w:szCs w:val="22"/>
        </w:rPr>
        <w:t>After Confucius Institutes: China’s Enduring Influence on American Higher Education</w:t>
      </w:r>
      <w:r w:rsidRPr="007B6482">
        <w:rPr>
          <w:rFonts w:ascii="Times New Roman" w:hAnsi="Times New Roman" w:cs="Times New Roman"/>
          <w:sz w:val="22"/>
          <w:szCs w:val="22"/>
        </w:rPr>
        <w:t xml:space="preserve"> (National Association of Scholars, 2022), </w:t>
      </w:r>
      <w:hyperlink r:id="rId9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https://www.nas.org/reports/after-confucius-institutes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0">
    <w:p w14:paraId="7A749A98" w14:textId="20965B63" w:rsidR="00CC7ABF" w:rsidRPr="007B6482" w:rsidRDefault="00CC7ABF" w:rsidP="001A7969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College Finances Act, Civics Alliance, </w:t>
      </w:r>
      <w:hyperlink r:id="rId10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https://civicsalliance.org/college-finances-act/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1">
    <w:p w14:paraId="745692F6" w14:textId="38BDCC31" w:rsidR="00CC7ABF" w:rsidRPr="007B6482" w:rsidRDefault="00CC7ABF" w:rsidP="001A7969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Universities Nondiscrimination Act, Civics Alliance, </w:t>
      </w:r>
      <w:hyperlink r:id="rId11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https://civicsalliance.org/universities-nondiscrimination-act/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2">
    <w:p w14:paraId="7CC411EE" w14:textId="554C368F" w:rsidR="00CC7ABF" w:rsidRPr="007B6482" w:rsidRDefault="00CC7ABF" w:rsidP="007B6482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Model K-12 Civics Code, Civics Alliance, </w:t>
      </w:r>
      <w:hyperlink r:id="rId12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https://civicsalliance.org/model-higher-education-code/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3">
    <w:p w14:paraId="73BDCDD6" w14:textId="4110F7F0" w:rsidR="00CC7ABF" w:rsidRPr="007B6482" w:rsidRDefault="00CC7ABF" w:rsidP="007B6482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Model Education Licensure Code, National Association of Scholars, </w:t>
      </w:r>
      <w:hyperlink r:id="rId13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https://www.nas.org/policy/model-education-licensure-code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4">
    <w:p w14:paraId="3D7DA985" w14:textId="704D0F91" w:rsidR="00CC7ABF" w:rsidRPr="007B6482" w:rsidRDefault="00CC7ABF" w:rsidP="007B6482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Model Accreditation and Licensure Code, National Association of Scholars, </w:t>
      </w:r>
      <w:hyperlink r:id="rId14" w:history="1">
        <w:r w:rsidRPr="007B6482">
          <w:rPr>
            <w:rStyle w:val="Hyperlink"/>
            <w:rFonts w:ascii="Times New Roman" w:hAnsi="Times New Roman" w:cs="Times New Roman"/>
            <w:sz w:val="22"/>
            <w:szCs w:val="22"/>
          </w:rPr>
          <w:t>https://www.nas.org/model-accreditation-and-licensure-code</w:t>
        </w:r>
      </w:hyperlink>
      <w:r w:rsidRPr="007B6482">
        <w:rPr>
          <w:rFonts w:ascii="Times New Roman" w:hAnsi="Times New Roman" w:cs="Times New Roman"/>
          <w:sz w:val="22"/>
          <w:szCs w:val="22"/>
        </w:rPr>
        <w:t>.</w:t>
      </w:r>
    </w:p>
  </w:endnote>
  <w:endnote w:id="15">
    <w:p w14:paraId="32A4C733" w14:textId="7311979F" w:rsidR="00CC7ABF" w:rsidRPr="007B6482" w:rsidRDefault="00CC7ABF" w:rsidP="005561EA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Partisanship Out of Civics Act</w:t>
      </w:r>
      <w:r w:rsidRPr="007B6482">
        <w:rPr>
          <w:rFonts w:ascii="Times New Roman" w:hAnsi="Times New Roman" w:cs="Times New Roman"/>
          <w:sz w:val="22"/>
          <w:szCs w:val="22"/>
        </w:rPr>
        <w:t xml:space="preserve">, Civics Alliance, </w:t>
      </w:r>
      <w:hyperlink r:id="rId15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https://civicsalliance.org/model-k-12-civics-code/partisanship-out-of-civics-act/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</w:endnote>
  <w:endnote w:id="16">
    <w:p w14:paraId="69DD2EAB" w14:textId="4BE01704" w:rsidR="00CC7ABF" w:rsidRPr="007B6482" w:rsidRDefault="00CC7ABF" w:rsidP="008E4434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Texas SB 3 (2021), </w:t>
      </w:r>
      <w:hyperlink r:id="rId16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https://legiscan.com/TX/text/SB3/id/2431439/Texas-2021-SB3-Enrolled.html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</w:endnote>
  <w:endnote w:id="17">
    <w:p w14:paraId="7CEC0603" w14:textId="7242426F" w:rsidR="00CC7ABF" w:rsidRPr="007B6482" w:rsidRDefault="00CC7ABF" w:rsidP="00BA083A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American Birthright Taskforce Act</w:t>
      </w:r>
      <w:r w:rsidRPr="007B6482">
        <w:rPr>
          <w:rFonts w:ascii="Times New Roman" w:hAnsi="Times New Roman" w:cs="Times New Roman"/>
          <w:sz w:val="22"/>
          <w:szCs w:val="22"/>
        </w:rPr>
        <w:t xml:space="preserve">, Civics Alliance, </w:t>
      </w:r>
      <w:hyperlink r:id="rId17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https://civicsalliance.org/american-birthright-taskforce-act/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.; American Birthright: The Civics Alliance’s Model K-12 Social Studies Standards, Civics Alliance, </w:t>
      </w:r>
      <w:hyperlink r:id="rId18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https://civicsalliance.org/american-birthright/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</w:endnote>
  <w:endnote w:id="18">
    <w:p w14:paraId="3B823587" w14:textId="00B08893" w:rsidR="00CC7ABF" w:rsidRPr="007B6482" w:rsidRDefault="00CC7ABF" w:rsidP="00BA083A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Education Licensure Nondiscrimination Act</w:t>
      </w:r>
      <w:r w:rsidRPr="007B6482">
        <w:rPr>
          <w:rFonts w:ascii="Times New Roman" w:hAnsi="Times New Roman" w:cs="Times New Roman"/>
          <w:sz w:val="22"/>
          <w:szCs w:val="22"/>
        </w:rPr>
        <w:t xml:space="preserve">, National Association of Scholars, </w:t>
      </w:r>
      <w:hyperlink r:id="rId19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https://www.nas.org/policy/model-education-licensure-code/education-licensure-nondiscrimination-act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</w:endnote>
  <w:endnote w:id="19">
    <w:p w14:paraId="222D2DD0" w14:textId="22F7D0B2" w:rsidR="00CC7ABF" w:rsidRPr="007B6482" w:rsidRDefault="00CC7ABF" w:rsidP="00BA083A">
      <w:pPr>
        <w:pStyle w:val="EndnoteText"/>
        <w:spacing w:after="120"/>
        <w:rPr>
          <w:rFonts w:ascii="Times New Roman" w:hAnsi="Times New Roman" w:cs="Times New Roman"/>
          <w:sz w:val="22"/>
          <w:szCs w:val="22"/>
        </w:rPr>
      </w:pPr>
      <w:r w:rsidRPr="007B6482">
        <w:rPr>
          <w:rStyle w:val="EndnoteReference"/>
          <w:rFonts w:ascii="Times New Roman" w:hAnsi="Times New Roman" w:cs="Times New Roman"/>
          <w:sz w:val="22"/>
          <w:szCs w:val="22"/>
        </w:rPr>
        <w:endnoteRef/>
      </w:r>
      <w:r w:rsidRPr="007B6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Education</w:t>
      </w:r>
      <w:r w:rsidRPr="007B6482">
        <w:rPr>
          <w:rFonts w:ascii="Times New Roman" w:hAnsi="Times New Roman" w:cs="Times New Roman"/>
          <w:sz w:val="22"/>
          <w:szCs w:val="22"/>
        </w:rPr>
        <w:t xml:space="preserve"> Licensure </w:t>
      </w:r>
      <w:r>
        <w:rPr>
          <w:rFonts w:ascii="Times New Roman" w:hAnsi="Times New Roman" w:cs="Times New Roman"/>
          <w:sz w:val="22"/>
          <w:szCs w:val="22"/>
        </w:rPr>
        <w:t>Certificate Act</w:t>
      </w:r>
      <w:r w:rsidRPr="007B6482">
        <w:rPr>
          <w:rFonts w:ascii="Times New Roman" w:hAnsi="Times New Roman" w:cs="Times New Roman"/>
          <w:sz w:val="22"/>
          <w:szCs w:val="22"/>
        </w:rPr>
        <w:t xml:space="preserve">, National Association of Scholars, </w:t>
      </w:r>
      <w:hyperlink r:id="rId20" w:history="1">
        <w:r w:rsidRPr="00EA26C8">
          <w:rPr>
            <w:rStyle w:val="Hyperlink"/>
            <w:rFonts w:ascii="Times New Roman" w:hAnsi="Times New Roman" w:cs="Times New Roman"/>
            <w:sz w:val="22"/>
            <w:szCs w:val="22"/>
          </w:rPr>
          <w:t>https://www.nas.org/policy/model-education-licensure-code/education-licensure-certificate-act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8128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35CDA4" w14:textId="0454B335" w:rsidR="001335C0" w:rsidRDefault="001335C0" w:rsidP="000F6D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BA2BF9" w14:textId="77777777" w:rsidR="001335C0" w:rsidRDefault="00133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</w:rPr>
      <w:id w:val="-223760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7106C" w14:textId="038995FC" w:rsidR="001335C0" w:rsidRPr="00C40A95" w:rsidRDefault="001335C0" w:rsidP="000F6DD7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C40A95">
          <w:rPr>
            <w:rStyle w:val="PageNumber"/>
            <w:rFonts w:ascii="Times New Roman" w:hAnsi="Times New Roman" w:cs="Times New Roman"/>
          </w:rPr>
          <w:fldChar w:fldCharType="begin"/>
        </w:r>
        <w:r w:rsidRPr="00C40A95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40A95">
          <w:rPr>
            <w:rStyle w:val="PageNumber"/>
            <w:rFonts w:ascii="Times New Roman" w:hAnsi="Times New Roman" w:cs="Times New Roman"/>
          </w:rPr>
          <w:fldChar w:fldCharType="separate"/>
        </w:r>
        <w:r w:rsidRPr="00C40A95">
          <w:rPr>
            <w:rStyle w:val="PageNumber"/>
            <w:rFonts w:ascii="Times New Roman" w:hAnsi="Times New Roman" w:cs="Times New Roman"/>
            <w:noProof/>
          </w:rPr>
          <w:t>2</w:t>
        </w:r>
        <w:r w:rsidRPr="00C40A95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1B451C" w14:textId="77777777" w:rsidR="001335C0" w:rsidRDefault="00133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2AEAC" w14:textId="77777777" w:rsidR="00BA73C9" w:rsidRDefault="00BA73C9" w:rsidP="00824984">
      <w:r>
        <w:separator/>
      </w:r>
    </w:p>
  </w:footnote>
  <w:footnote w:type="continuationSeparator" w:id="0">
    <w:p w14:paraId="65C59823" w14:textId="77777777" w:rsidR="00BA73C9" w:rsidRDefault="00BA73C9" w:rsidP="0082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4088" w14:textId="77777777" w:rsidR="0029760D" w:rsidRDefault="0053088A" w:rsidP="0029760D">
    <w:pPr>
      <w:rPr>
        <w:rFonts w:ascii="Times New Roman" w:hAnsi="Times New Roman" w:cs="Times New Roman"/>
        <w:b/>
        <w:bCs/>
      </w:rPr>
    </w:pPr>
    <w:r w:rsidRPr="0053088A">
      <w:rPr>
        <w:rFonts w:ascii="Times New Roman" w:hAnsi="Times New Roman" w:cs="Times New Roman"/>
        <w:b/>
        <w:bCs/>
      </w:rPr>
      <w:t>Kentucky Higher Education Reform: Draft Recommendations</w:t>
    </w:r>
    <w:r w:rsidR="00BE7499">
      <w:rPr>
        <w:rFonts w:ascii="Times New Roman" w:hAnsi="Times New Roman" w:cs="Times New Roman"/>
        <w:b/>
        <w:bCs/>
      </w:rPr>
      <w:t xml:space="preserve"> </w:t>
    </w:r>
  </w:p>
  <w:p w14:paraId="1C9BEF59" w14:textId="0CC80108" w:rsidR="0029760D" w:rsidRPr="0029760D" w:rsidRDefault="0029760D" w:rsidP="0029760D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David Randall</w:t>
    </w:r>
    <w:r w:rsidRPr="0029760D">
      <w:rPr>
        <w:rFonts w:ascii="Times New Roman" w:hAnsi="Times New Roman" w:cs="Times New Roman"/>
        <w:b/>
      </w:rPr>
      <w:t xml:space="preserve">, </w:t>
    </w:r>
    <w:r>
      <w:rPr>
        <w:rFonts w:ascii="Times New Roman" w:hAnsi="Times New Roman" w:cs="Times New Roman"/>
        <w:b/>
      </w:rPr>
      <w:t>Research Director</w:t>
    </w:r>
    <w:r w:rsidRPr="0029760D">
      <w:rPr>
        <w:rFonts w:ascii="Times New Roman" w:hAnsi="Times New Roman" w:cs="Times New Roman"/>
        <w:b/>
      </w:rPr>
      <w:t>, National Association of Scholars</w:t>
    </w:r>
  </w:p>
  <w:p w14:paraId="34D5092E" w14:textId="68CF8B3C" w:rsidR="00FD69B8" w:rsidRPr="0053088A" w:rsidRDefault="00FD69B8" w:rsidP="00FD69B8">
    <w:pPr>
      <w:pStyle w:val="Header"/>
      <w:jc w:val="center"/>
      <w:rPr>
        <w:rFonts w:ascii="Times New Roman" w:hAnsi="Times New Roman" w:cs="Times New Roman"/>
        <w:b/>
        <w:bCs/>
      </w:rPr>
    </w:pPr>
  </w:p>
  <w:p w14:paraId="78CE73E1" w14:textId="77777777" w:rsidR="00FD69B8" w:rsidRDefault="00FD69B8" w:rsidP="00FD69B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E"/>
    <w:rsid w:val="0001500A"/>
    <w:rsid w:val="00023B8A"/>
    <w:rsid w:val="00052B7E"/>
    <w:rsid w:val="00065696"/>
    <w:rsid w:val="000977FB"/>
    <w:rsid w:val="000C3B1E"/>
    <w:rsid w:val="000E2B9F"/>
    <w:rsid w:val="001335C0"/>
    <w:rsid w:val="00134586"/>
    <w:rsid w:val="001643D2"/>
    <w:rsid w:val="001A7969"/>
    <w:rsid w:val="00202690"/>
    <w:rsid w:val="00215E60"/>
    <w:rsid w:val="00280F70"/>
    <w:rsid w:val="0029760D"/>
    <w:rsid w:val="002C2F3D"/>
    <w:rsid w:val="00364C5F"/>
    <w:rsid w:val="00454801"/>
    <w:rsid w:val="004736B5"/>
    <w:rsid w:val="004817A8"/>
    <w:rsid w:val="004B3638"/>
    <w:rsid w:val="004F532E"/>
    <w:rsid w:val="005220A7"/>
    <w:rsid w:val="0053088A"/>
    <w:rsid w:val="005561EA"/>
    <w:rsid w:val="00612C38"/>
    <w:rsid w:val="006F397F"/>
    <w:rsid w:val="0071126F"/>
    <w:rsid w:val="007206FD"/>
    <w:rsid w:val="00766736"/>
    <w:rsid w:val="007A3E25"/>
    <w:rsid w:val="007A71F7"/>
    <w:rsid w:val="007B581E"/>
    <w:rsid w:val="007B6482"/>
    <w:rsid w:val="007D03A4"/>
    <w:rsid w:val="00824984"/>
    <w:rsid w:val="0086107C"/>
    <w:rsid w:val="008E4434"/>
    <w:rsid w:val="00997C91"/>
    <w:rsid w:val="00A17405"/>
    <w:rsid w:val="00A524F0"/>
    <w:rsid w:val="00A77526"/>
    <w:rsid w:val="00A87536"/>
    <w:rsid w:val="00AC6711"/>
    <w:rsid w:val="00AF6D52"/>
    <w:rsid w:val="00B62946"/>
    <w:rsid w:val="00B7536D"/>
    <w:rsid w:val="00BA083A"/>
    <w:rsid w:val="00BA73C9"/>
    <w:rsid w:val="00BD66DB"/>
    <w:rsid w:val="00BE7499"/>
    <w:rsid w:val="00C40A95"/>
    <w:rsid w:val="00CB03F5"/>
    <w:rsid w:val="00CC7ABF"/>
    <w:rsid w:val="00D1065C"/>
    <w:rsid w:val="00D6596A"/>
    <w:rsid w:val="00DA0689"/>
    <w:rsid w:val="00E37F05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B6D13"/>
  <w15:chartTrackingRefBased/>
  <w15:docId w15:val="{6F7F6E45-876E-5C40-9D74-EE46DD9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39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49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9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9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4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9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F39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397F"/>
    <w:rPr>
      <w:b/>
      <w:bCs/>
    </w:rPr>
  </w:style>
  <w:style w:type="paragraph" w:styleId="NormalWeb">
    <w:name w:val="Normal (Web)"/>
    <w:basedOn w:val="Normal"/>
    <w:uiPriority w:val="99"/>
    <w:unhideWhenUsed/>
    <w:rsid w:val="006F39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9B8"/>
  </w:style>
  <w:style w:type="paragraph" w:styleId="Footer">
    <w:name w:val="footer"/>
    <w:basedOn w:val="Normal"/>
    <w:link w:val="FooterChar"/>
    <w:uiPriority w:val="99"/>
    <w:unhideWhenUsed/>
    <w:rsid w:val="00FD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9B8"/>
  </w:style>
  <w:style w:type="character" w:styleId="PageNumber">
    <w:name w:val="page number"/>
    <w:basedOn w:val="DefaultParagraphFont"/>
    <w:uiPriority w:val="99"/>
    <w:semiHidden/>
    <w:unhideWhenUsed/>
    <w:rsid w:val="001335C0"/>
  </w:style>
  <w:style w:type="character" w:styleId="FollowedHyperlink">
    <w:name w:val="FollowedHyperlink"/>
    <w:basedOn w:val="DefaultParagraphFont"/>
    <w:uiPriority w:val="99"/>
    <w:semiHidden/>
    <w:unhideWhenUsed/>
    <w:rsid w:val="002C2F3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A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941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587693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1527969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442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24369966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4825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20735948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3624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50955766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40423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1908045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85128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8792983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17776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4399330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2731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13191861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17924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5180489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4850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0045327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393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64319049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119041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809908267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84016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52528903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1125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74263151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0992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63010198">
          <w:marLeft w:val="0"/>
          <w:marRight w:val="0"/>
          <w:marTop w:val="30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7156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8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ivicsalliance.org/higher-education-civics-reform/american-history-act/" TargetMode="External"/><Relationship Id="rId13" Type="http://schemas.openxmlformats.org/officeDocument/2006/relationships/hyperlink" Target="https://www.nas.org/policy/model-education-licensure-code" TargetMode="External"/><Relationship Id="rId18" Type="http://schemas.openxmlformats.org/officeDocument/2006/relationships/hyperlink" Target="https://civicsalliance.org/american-birthright/" TargetMode="External"/><Relationship Id="rId3" Type="http://schemas.openxmlformats.org/officeDocument/2006/relationships/hyperlink" Target="https://search-prod.lis.state.oh.us/solarapi/v1/general_assembly_135/bills/sb117/PS/02/sb117_02_PS?format=pdf" TargetMode="External"/><Relationship Id="rId7" Type="http://schemas.openxmlformats.org/officeDocument/2006/relationships/hyperlink" Target="https://civicsalliance.org/syllabus-transparency-act/" TargetMode="External"/><Relationship Id="rId12" Type="http://schemas.openxmlformats.org/officeDocument/2006/relationships/hyperlink" Target="https://civicsalliance.org/model-higher-education-code/" TargetMode="External"/><Relationship Id="rId17" Type="http://schemas.openxmlformats.org/officeDocument/2006/relationships/hyperlink" Target="https://civicsalliance.org/american-birthright-taskforce-act/" TargetMode="External"/><Relationship Id="rId2" Type="http://schemas.openxmlformats.org/officeDocument/2006/relationships/hyperlink" Target="https://civicsalliance.org/school-of-intellectual-freedom-act/" TargetMode="External"/><Relationship Id="rId16" Type="http://schemas.openxmlformats.org/officeDocument/2006/relationships/hyperlink" Target="https://legiscan.com/TX/text/SB3/id/2431439/Texas-2021-SB3-Enrolled.html" TargetMode="External"/><Relationship Id="rId20" Type="http://schemas.openxmlformats.org/officeDocument/2006/relationships/hyperlink" Target="https://www.nas.org/policy/model-education-licensure-code/education-licensure-certificate-act" TargetMode="External"/><Relationship Id="rId1" Type="http://schemas.openxmlformats.org/officeDocument/2006/relationships/hyperlink" Target="https://civicsalliance.org/model-higher-education-code/" TargetMode="External"/><Relationship Id="rId6" Type="http://schemas.openxmlformats.org/officeDocument/2006/relationships/hyperlink" Target="https://civicsalliance.org/campus-intellectual-diversity-act/" TargetMode="External"/><Relationship Id="rId11" Type="http://schemas.openxmlformats.org/officeDocument/2006/relationships/hyperlink" Target="https://civicsalliance.org/universities-nondiscrimination-act/" TargetMode="External"/><Relationship Id="rId5" Type="http://schemas.openxmlformats.org/officeDocument/2006/relationships/hyperlink" Target="https://civicsalliance.org/mission-statement-act/" TargetMode="External"/><Relationship Id="rId15" Type="http://schemas.openxmlformats.org/officeDocument/2006/relationships/hyperlink" Target="https://civicsalliance.org/model-k-12-civics-code/partisanship-out-of-civics-act/" TargetMode="External"/><Relationship Id="rId10" Type="http://schemas.openxmlformats.org/officeDocument/2006/relationships/hyperlink" Target="https://civicsalliance.org/college-finances-act/" TargetMode="External"/><Relationship Id="rId19" Type="http://schemas.openxmlformats.org/officeDocument/2006/relationships/hyperlink" Target="https://www.nas.org/policy/model-education-licensure-code/education-licensure-nondiscrimination-act" TargetMode="External"/><Relationship Id="rId4" Type="http://schemas.openxmlformats.org/officeDocument/2006/relationships/hyperlink" Target="https://search-prod.lis.state.oh.us/solarapi/v1/general_assembly_135/bills/sb83/PS/02/sb83_02_PS?format=pdf" TargetMode="External"/><Relationship Id="rId9" Type="http://schemas.openxmlformats.org/officeDocument/2006/relationships/hyperlink" Target="https://www.nas.org/reports/after-confucius-institutes" TargetMode="External"/><Relationship Id="rId14" Type="http://schemas.openxmlformats.org/officeDocument/2006/relationships/hyperlink" Target="https://www.nas.org/model-accreditation-and-licensure-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4385F9-D915-41FA-902D-E3AB24B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 Foster</cp:lastModifiedBy>
  <cp:revision>2</cp:revision>
  <dcterms:created xsi:type="dcterms:W3CDTF">2023-09-12T12:25:00Z</dcterms:created>
  <dcterms:modified xsi:type="dcterms:W3CDTF">2023-09-12T12:25:00Z</dcterms:modified>
</cp:coreProperties>
</file>