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816E30">
      <w:pPr>
        <w:pStyle w:val="Heading1"/>
        <w:ind w:firstLine="0"/>
        <w:rPr>
          <w:rFonts w:ascii="Times New Roman" w:hAnsi="Times New Roman"/>
        </w:rPr>
      </w:pPr>
      <w:bookmarkStart w:id="0" w:name="cmte"/>
      <w:bookmarkEnd w:id="0"/>
      <w:r>
        <w:rPr>
          <w:rFonts w:ascii="Times New Roman" w:hAnsi="Times New Roman"/>
        </w:rPr>
        <w:t>Public Pension Oversight Board</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816E30">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816E30">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816E30">
        <w:rPr>
          <w:rFonts w:ascii="Times New Roman" w:hAnsi="Times New Roman"/>
        </w:rPr>
        <w:t>August 27,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4" w:name="MeetNo2"/>
      <w:bookmarkEnd w:id="4"/>
      <w:r w:rsidR="00816E30">
        <w:t>5th</w:t>
      </w:r>
      <w:r>
        <w:t xml:space="preserve"> meeting of the </w:t>
      </w:r>
      <w:bookmarkStart w:id="5" w:name="cmte2"/>
      <w:bookmarkEnd w:id="5"/>
      <w:r w:rsidR="00816E30">
        <w:t>Public Pension Oversight Board</w:t>
      </w:r>
      <w:r>
        <w:t xml:space="preserve"> was held on</w:t>
      </w:r>
      <w:r>
        <w:rPr>
          <w:vanish/>
          <w:sz w:val="10"/>
        </w:rPr>
        <w:t>&lt;Day&gt;</w:t>
      </w:r>
      <w:r>
        <w:t xml:space="preserve"> </w:t>
      </w:r>
      <w:bookmarkStart w:id="6" w:name="Day"/>
      <w:bookmarkEnd w:id="6"/>
      <w:r w:rsidR="00816E30">
        <w:t>Monday</w:t>
      </w:r>
      <w:r>
        <w:t>,</w:t>
      </w:r>
      <w:r>
        <w:rPr>
          <w:vanish/>
          <w:sz w:val="10"/>
        </w:rPr>
        <w:t>&lt;MeetMDY2&gt;</w:t>
      </w:r>
      <w:r>
        <w:t xml:space="preserve"> </w:t>
      </w:r>
      <w:bookmarkStart w:id="7" w:name="MeetMDY2"/>
      <w:bookmarkEnd w:id="7"/>
      <w:r w:rsidR="00816E30">
        <w:t>August 27, 2018</w:t>
      </w:r>
      <w:r>
        <w:t>, at</w:t>
      </w:r>
      <w:r>
        <w:rPr>
          <w:vanish/>
          <w:sz w:val="10"/>
        </w:rPr>
        <w:t>&lt;MeetTime&gt;</w:t>
      </w:r>
      <w:r>
        <w:t xml:space="preserve"> </w:t>
      </w:r>
      <w:bookmarkStart w:id="8" w:name="MeetTime"/>
      <w:bookmarkEnd w:id="8"/>
      <w:r w:rsidR="00816E30">
        <w:t>1:00 PM</w:t>
      </w:r>
      <w:r>
        <w:t>, in</w:t>
      </w:r>
      <w:r>
        <w:rPr>
          <w:vanish/>
          <w:sz w:val="10"/>
        </w:rPr>
        <w:t>&lt;Room&gt;</w:t>
      </w:r>
      <w:r>
        <w:t xml:space="preserve"> </w:t>
      </w:r>
      <w:bookmarkStart w:id="9" w:name="Room"/>
      <w:bookmarkEnd w:id="9"/>
      <w:r w:rsidR="00816E30">
        <w:t>Room 154 of the Capitol Annex</w:t>
      </w:r>
      <w:r>
        <w:t xml:space="preserve">. </w:t>
      </w:r>
      <w:bookmarkStart w:id="10" w:name="pchair"/>
      <w:bookmarkEnd w:id="10"/>
      <w:r w:rsidR="00816E30">
        <w:t>Senator Joe Bowen,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1" w:name="Members"/>
      <w:bookmarkEnd w:id="11"/>
      <w:r w:rsidR="00816E30">
        <w:t>Senator Joe Bowen, Co-Chair; Representative Jerry T. Miller, Co-Chair; Senators Gerald A. Neal, Dennis Parrett, and Wil Schroder; Representatives Ken Fleming, DJ Johnson, James Kay, Arnold Simpson, and Russell Webber; J. Michael Brown, John Chilton, Timothy Fyffe, Mike Harmon, James M. "Mac" Jefferson, and Sharon Mattingly</w:t>
      </w:r>
      <w:r>
        <w:t>.</w:t>
      </w:r>
    </w:p>
    <w:p w:rsidR="000A6BA5" w:rsidRDefault="000A6BA5"/>
    <w:p w:rsidR="000A6BA5" w:rsidRDefault="000A6BA5">
      <w:r>
        <w:rPr>
          <w:u w:val="single"/>
        </w:rPr>
        <w:t>Guests:</w:t>
      </w:r>
      <w:r>
        <w:t xml:space="preserve">  </w:t>
      </w:r>
      <w:r w:rsidR="00816E30">
        <w:t>David Eager, Executive Director, and Rich Robben, CFA, Interim Executive Director, Office of Investments, Fixed Income Assets, Kentucky Retirement Systems; Beau Barnes, Deputy Executive Director, Teachers’ Retirement Systems and P</w:t>
      </w:r>
      <w:r w:rsidR="00A41B54">
        <w:t>.</w:t>
      </w:r>
      <w:r w:rsidR="00816E30">
        <w:t>J</w:t>
      </w:r>
      <w:r w:rsidR="00A41B54">
        <w:t>.</w:t>
      </w:r>
      <w:r w:rsidR="00816E30">
        <w:t xml:space="preserve"> Kel</w:t>
      </w:r>
      <w:r w:rsidR="00571408">
        <w:t>ly, Aon Hewitt; and Donna Early, Executive Director, Judicial Form Retirement System.</w:t>
      </w:r>
    </w:p>
    <w:p w:rsidR="000A6BA5" w:rsidRDefault="000A6BA5"/>
    <w:p w:rsidR="000A6BA5" w:rsidRDefault="000A6BA5">
      <w:r>
        <w:rPr>
          <w:u w:val="single"/>
        </w:rPr>
        <w:t>LRC Staff:</w:t>
      </w:r>
      <w:r>
        <w:t xml:space="preserve">  </w:t>
      </w:r>
      <w:bookmarkStart w:id="12" w:name="cmtestaff"/>
      <w:bookmarkEnd w:id="12"/>
      <w:r w:rsidR="00571408">
        <w:t>Brad Gross, Jennifer Black Hans, Bo Cracraft, and Angela Rhodes.</w:t>
      </w:r>
    </w:p>
    <w:p w:rsidR="00571408" w:rsidRDefault="00571408"/>
    <w:p w:rsidR="00571408" w:rsidRDefault="00571408">
      <w:r>
        <w:rPr>
          <w:b/>
        </w:rPr>
        <w:t>Approval of Minutes</w:t>
      </w:r>
    </w:p>
    <w:p w:rsidR="00571408" w:rsidRDefault="00571408">
      <w:r>
        <w:t>Representative Kay moved that the minutes of the June 25, 2018 meeting be approved. Representative Johnson seconded the motion, and the minutes were approved without objection.</w:t>
      </w:r>
    </w:p>
    <w:p w:rsidR="00571408" w:rsidRDefault="00571408"/>
    <w:p w:rsidR="00571408" w:rsidRDefault="009A3F7D">
      <w:r>
        <w:rPr>
          <w:b/>
        </w:rPr>
        <w:t>Investment and Cash Flow Quarterly Update/SB 2 Compliance Review/Agency Opt-Out Review Update</w:t>
      </w:r>
      <w:r w:rsidR="005E6D1F">
        <w:rPr>
          <w:b/>
        </w:rPr>
        <w:t xml:space="preserve"> - KRS</w:t>
      </w:r>
    </w:p>
    <w:p w:rsidR="00F164AF" w:rsidRPr="002C74F3" w:rsidRDefault="005E6D1F" w:rsidP="002C74F3">
      <w:r>
        <w:t>David Eager</w:t>
      </w:r>
      <w:r w:rsidR="004C20E4">
        <w:t xml:space="preserve"> </w:t>
      </w:r>
      <w:r w:rsidR="00B53E24">
        <w:t>discussed</w:t>
      </w:r>
      <w:r w:rsidR="00BC47EA">
        <w:t xml:space="preserve"> i</w:t>
      </w:r>
      <w:r w:rsidR="00BA7E0E">
        <w:t xml:space="preserve">nvestment performance, cash flow, SB 2 compliance, and agency opt-out HB 362 replacement. </w:t>
      </w:r>
      <w:r w:rsidR="00C22374">
        <w:t>Investment markets continue to perform well and the investment group add</w:t>
      </w:r>
      <w:r w:rsidR="00B53E24">
        <w:t>ed</w:t>
      </w:r>
      <w:r w:rsidR="00C22374">
        <w:t xml:space="preserve"> approximately $120 million above benchmarks during the year</w:t>
      </w:r>
      <w:r w:rsidR="00A41B54">
        <w:t xml:space="preserve">. </w:t>
      </w:r>
      <w:r w:rsidR="00B53E24">
        <w:t>R</w:t>
      </w:r>
      <w:r w:rsidR="00C22374">
        <w:t xml:space="preserve">egardless of performance, </w:t>
      </w:r>
      <w:r w:rsidR="00DD1C8B">
        <w:t>Kentucky Retirement Systems (</w:t>
      </w:r>
      <w:r w:rsidR="00C22374">
        <w:t>KRS</w:t>
      </w:r>
      <w:r w:rsidR="00DD1C8B">
        <w:t>)</w:t>
      </w:r>
      <w:r w:rsidR="00C22374">
        <w:t xml:space="preserve"> will </w:t>
      </w:r>
      <w:r w:rsidR="00B53E24">
        <w:t>not earn its</w:t>
      </w:r>
      <w:r w:rsidR="004C20E4">
        <w:t xml:space="preserve"> way out</w:t>
      </w:r>
      <w:r w:rsidR="00EC09BE">
        <w:t xml:space="preserve"> </w:t>
      </w:r>
      <w:r w:rsidR="00155DC7">
        <w:t>of</w:t>
      </w:r>
      <w:r w:rsidR="00EC09BE">
        <w:t xml:space="preserve"> </w:t>
      </w:r>
      <w:r w:rsidR="00CA652F">
        <w:t>this situation</w:t>
      </w:r>
      <w:r w:rsidR="004C20E4">
        <w:t xml:space="preserve"> and will need funding from external sources.</w:t>
      </w:r>
      <w:r w:rsidR="00BA7E0E">
        <w:t xml:space="preserve"> </w:t>
      </w:r>
      <w:r w:rsidR="00C22374">
        <w:t xml:space="preserve">For the fiscal year, </w:t>
      </w:r>
      <w:r w:rsidR="00BA7E0E">
        <w:t xml:space="preserve">KRS </w:t>
      </w:r>
      <w:r w:rsidR="00C22374">
        <w:t>was</w:t>
      </w:r>
      <w:r w:rsidR="00BA7E0E">
        <w:t xml:space="preserve"> up 8.6 percent </w:t>
      </w:r>
      <w:r w:rsidR="00C22374">
        <w:t xml:space="preserve">in the </w:t>
      </w:r>
      <w:r w:rsidR="00BA7E0E">
        <w:t>pension</w:t>
      </w:r>
      <w:r w:rsidR="00C22374">
        <w:t xml:space="preserve"> fund</w:t>
      </w:r>
      <w:r w:rsidR="00BA7E0E">
        <w:t xml:space="preserve"> and 9.1 percent </w:t>
      </w:r>
      <w:r w:rsidR="00C22374">
        <w:t>in the</w:t>
      </w:r>
      <w:r w:rsidR="00BA7E0E">
        <w:t xml:space="preserve"> insurance</w:t>
      </w:r>
      <w:r w:rsidR="00C22374">
        <w:t xml:space="preserve"> fund, which ranked</w:t>
      </w:r>
      <w:r w:rsidR="003B7C46">
        <w:t xml:space="preserve"> within the 26</w:t>
      </w:r>
      <w:r w:rsidR="003B7C46" w:rsidRPr="003B7C46">
        <w:rPr>
          <w:vertAlign w:val="superscript"/>
        </w:rPr>
        <w:t>th</w:t>
      </w:r>
      <w:r w:rsidR="003B7C46">
        <w:t xml:space="preserve"> percentile of the </w:t>
      </w:r>
      <w:r w:rsidR="003B7C46" w:rsidRPr="002C74F3">
        <w:t xml:space="preserve">Wilshire </w:t>
      </w:r>
      <w:r w:rsidR="001D05C4" w:rsidRPr="002C74F3">
        <w:t>T</w:t>
      </w:r>
      <w:r w:rsidR="00155DC7">
        <w:t>rust U</w:t>
      </w:r>
      <w:r w:rsidR="00BA7E0E" w:rsidRPr="002C74F3">
        <w:t>niverse</w:t>
      </w:r>
      <w:r w:rsidR="00155DC7">
        <w:t xml:space="preserve"> Comparison </w:t>
      </w:r>
      <w:r w:rsidR="009D2939">
        <w:t>Service (TUCS)</w:t>
      </w:r>
      <w:r w:rsidR="00BA7E0E" w:rsidRPr="002C74F3">
        <w:t xml:space="preserve">. </w:t>
      </w:r>
      <w:r w:rsidR="00B53E24">
        <w:t>C</w:t>
      </w:r>
      <w:r w:rsidR="003B7C46" w:rsidRPr="002C74F3">
        <w:t xml:space="preserve">ash flow still presented a problem to </w:t>
      </w:r>
      <w:r w:rsidR="00B53E24">
        <w:t xml:space="preserve">the </w:t>
      </w:r>
      <w:r w:rsidR="003B7C46" w:rsidRPr="002C74F3">
        <w:t>funds</w:t>
      </w:r>
      <w:r w:rsidR="00A41B54">
        <w:t xml:space="preserve">. </w:t>
      </w:r>
      <w:r w:rsidR="00B53E24">
        <w:t>C</w:t>
      </w:r>
      <w:r w:rsidR="003B7C46" w:rsidRPr="002C74F3">
        <w:t>ash flow ha</w:t>
      </w:r>
      <w:r w:rsidR="00B53E24">
        <w:t>s</w:t>
      </w:r>
      <w:r w:rsidR="003B7C46" w:rsidRPr="002C74F3">
        <w:t xml:space="preserve"> improved significantly over the past few years</w:t>
      </w:r>
      <w:r w:rsidR="00B53E24">
        <w:t>,</w:t>
      </w:r>
      <w:r w:rsidR="003B7C46" w:rsidRPr="002C74F3">
        <w:t xml:space="preserve"> and with the additional funding</w:t>
      </w:r>
      <w:r w:rsidR="002C74F3" w:rsidRPr="002C74F3">
        <w:t xml:space="preserve"> expected, KRS </w:t>
      </w:r>
      <w:r w:rsidR="00B53E24">
        <w:t>i</w:t>
      </w:r>
      <w:r w:rsidR="002C74F3" w:rsidRPr="002C74F3">
        <w:t xml:space="preserve">s anticipating a positive cash </w:t>
      </w:r>
      <w:r w:rsidR="002C74F3">
        <w:t xml:space="preserve">flow </w:t>
      </w:r>
      <w:r w:rsidR="002C74F3" w:rsidRPr="002C74F3">
        <w:t>for fiscal year 2019.</w:t>
      </w:r>
      <w:r w:rsidR="002C74F3">
        <w:t xml:space="preserve"> Regarding </w:t>
      </w:r>
      <w:r w:rsidR="00F164AF">
        <w:t xml:space="preserve">SB 2 compliance, the 18A and 45A </w:t>
      </w:r>
      <w:r w:rsidR="00714D2D">
        <w:t>transition and implementation</w:t>
      </w:r>
      <w:r w:rsidR="002C74F3">
        <w:t xml:space="preserve"> ha</w:t>
      </w:r>
      <w:r w:rsidR="00B53E24">
        <w:t>ve</w:t>
      </w:r>
      <w:r w:rsidR="002C74F3">
        <w:t xml:space="preserve"> been </w:t>
      </w:r>
      <w:r w:rsidR="00F164AF">
        <w:t>somew</w:t>
      </w:r>
      <w:r w:rsidR="002C74F3">
        <w:t xml:space="preserve">hat problematic </w:t>
      </w:r>
      <w:r w:rsidR="001417EF">
        <w:t xml:space="preserve">and </w:t>
      </w:r>
      <w:r w:rsidR="002C74F3">
        <w:t xml:space="preserve">investment </w:t>
      </w:r>
      <w:r w:rsidR="00F164AF">
        <w:t xml:space="preserve">manager contract compliance </w:t>
      </w:r>
      <w:r w:rsidR="00B53E24">
        <w:t>has</w:t>
      </w:r>
      <w:r w:rsidR="002C74F3">
        <w:t xml:space="preserve"> been </w:t>
      </w:r>
      <w:r w:rsidR="00F164AF">
        <w:t>met with</w:t>
      </w:r>
      <w:r w:rsidR="002C74F3">
        <w:t xml:space="preserve"> some resistance</w:t>
      </w:r>
      <w:r w:rsidR="00714D2D">
        <w:t xml:space="preserve"> from</w:t>
      </w:r>
      <w:r w:rsidR="002C74F3">
        <w:t xml:space="preserve"> a few managers at this point</w:t>
      </w:r>
      <w:r w:rsidR="00A41B54">
        <w:t xml:space="preserve">. </w:t>
      </w:r>
      <w:r w:rsidR="00F164AF">
        <w:t>KRS is on target for a December completion</w:t>
      </w:r>
      <w:r w:rsidR="00B53E24">
        <w:t xml:space="preserve"> of agency opt-out</w:t>
      </w:r>
      <w:r w:rsidR="00F164AF">
        <w:t>.</w:t>
      </w:r>
    </w:p>
    <w:p w:rsidR="00F164AF" w:rsidRDefault="00F164AF"/>
    <w:p w:rsidR="000A6BA5" w:rsidRDefault="00D515CA">
      <w:r>
        <w:t xml:space="preserve">Mr. Robben discussed the investment </w:t>
      </w:r>
      <w:r w:rsidR="002C74F3">
        <w:t>performance a</w:t>
      </w:r>
      <w:r>
        <w:t>s of June 30, 2018</w:t>
      </w:r>
      <w:r w:rsidR="00A41B54">
        <w:t xml:space="preserve">. </w:t>
      </w:r>
      <w:r>
        <w:t>K</w:t>
      </w:r>
      <w:r w:rsidR="00B53E24">
        <w:t>RS i</w:t>
      </w:r>
      <w:r>
        <w:t xml:space="preserve">s pleased with the fiscal year results for all plans with pensions ranging </w:t>
      </w:r>
      <w:r w:rsidR="005F35D3">
        <w:t>high at</w:t>
      </w:r>
      <w:r>
        <w:t xml:space="preserve"> 8.8 percent for the County Employees Retirement System (CERS) to 7.5 percent for Kentucky Employees Retirement System (KERS). </w:t>
      </w:r>
      <w:r w:rsidR="00CD293D">
        <w:t xml:space="preserve">The </w:t>
      </w:r>
      <w:r>
        <w:t xml:space="preserve">cash flow profile of the KERS plan does not allow the </w:t>
      </w:r>
      <w:r w:rsidR="002C74F3">
        <w:t xml:space="preserve">same level of </w:t>
      </w:r>
      <w:r>
        <w:t>risk as the other plans under KRS</w:t>
      </w:r>
      <w:r w:rsidR="002C74F3">
        <w:t>, thus the moderately lower return.</w:t>
      </w:r>
      <w:r>
        <w:t xml:space="preserve"> The insurance results are very similar with a high of 9</w:t>
      </w:r>
      <w:r w:rsidR="005F35D3">
        <w:t>.3 percent for CERS and</w:t>
      </w:r>
      <w:r>
        <w:t xml:space="preserve"> 8 percent for KERS</w:t>
      </w:r>
      <w:r w:rsidR="00A41B54">
        <w:t xml:space="preserve">. </w:t>
      </w:r>
      <w:r w:rsidR="002C74F3">
        <w:t>Mr. Robben highlighted the performance relative to peers, with KRS ranking close to</w:t>
      </w:r>
      <w:r w:rsidR="00CD293D">
        <w:t xml:space="preserve"> the</w:t>
      </w:r>
      <w:r w:rsidR="002C74F3">
        <w:t xml:space="preserve"> first</w:t>
      </w:r>
      <w:r w:rsidR="00CD293D">
        <w:t xml:space="preserve"> quartile</w:t>
      </w:r>
      <w:r w:rsidR="002C74F3">
        <w:t>, and noted how perf</w:t>
      </w:r>
      <w:r w:rsidR="00D7154E">
        <w:t xml:space="preserve">ormance had continue to </w:t>
      </w:r>
      <w:r w:rsidR="00CD293D">
        <w:t>improve</w:t>
      </w:r>
      <w:r w:rsidR="002C74F3">
        <w:t xml:space="preserve"> since the </w:t>
      </w:r>
      <w:r w:rsidR="002A11C7">
        <w:t>current investment committee had joined KRS.</w:t>
      </w:r>
    </w:p>
    <w:p w:rsidR="001B3455" w:rsidRDefault="001B3455"/>
    <w:p w:rsidR="002A11C7" w:rsidRDefault="001B3455">
      <w:r>
        <w:t xml:space="preserve">Mr. Eager </w:t>
      </w:r>
      <w:r w:rsidR="002A11C7">
        <w:t xml:space="preserve">reviewed a risk/return analysis for the KRS pension plan, which measures both the amount of risk taken and total return of a </w:t>
      </w:r>
      <w:r w:rsidR="00A41B54">
        <w:t xml:space="preserve">portfolio. </w:t>
      </w:r>
      <w:r w:rsidR="002A11C7">
        <w:t>Staff expects the pension portfolio to have less risk than most peers, however staff</w:t>
      </w:r>
      <w:r w:rsidR="00D7154E">
        <w:t>’</w:t>
      </w:r>
      <w:r w:rsidR="002A11C7">
        <w:t>s goal is to meet or exceed the median return over time.</w:t>
      </w:r>
    </w:p>
    <w:p w:rsidR="002A11C7" w:rsidRDefault="002A11C7"/>
    <w:p w:rsidR="001B3455" w:rsidRDefault="001B3455">
      <w:r>
        <w:t xml:space="preserve">In response to a question from Mr. Fyffe, Mr. Eager stated </w:t>
      </w:r>
      <w:r w:rsidR="00A1516B">
        <w:t xml:space="preserve">that the risk/return analysis </w:t>
      </w:r>
      <w:r w:rsidR="002A11C7">
        <w:t xml:space="preserve">includes </w:t>
      </w:r>
      <w:r w:rsidR="00A1516B">
        <w:t xml:space="preserve">about 130 public </w:t>
      </w:r>
      <w:r w:rsidR="00A41B54">
        <w:t xml:space="preserve">funds, which </w:t>
      </w:r>
      <w:r w:rsidR="002A11C7">
        <w:t xml:space="preserve">utilize a </w:t>
      </w:r>
      <w:r w:rsidR="00DB5633">
        <w:t>variety</w:t>
      </w:r>
      <w:r w:rsidR="00A1516B">
        <w:t xml:space="preserve"> of asset allocations. Mr. Robben stated that TUCS</w:t>
      </w:r>
      <w:r w:rsidR="007F3A55">
        <w:t>’ Total Return Master Trust</w:t>
      </w:r>
      <w:r w:rsidR="00D7154E">
        <w:t xml:space="preserve"> </w:t>
      </w:r>
      <w:r w:rsidR="00A1516B">
        <w:t xml:space="preserve">is a public universe that compares performance and </w:t>
      </w:r>
      <w:r w:rsidR="00DB5633">
        <w:t>risk</w:t>
      </w:r>
      <w:r w:rsidR="00A1516B">
        <w:t xml:space="preserve"> of all public pension funds regardless of pension size. The </w:t>
      </w:r>
      <w:r w:rsidR="002A11C7">
        <w:t>u</w:t>
      </w:r>
      <w:r w:rsidR="00A1516B">
        <w:t>niverse includes only public pension funds and does not include endowments, foundations, corporate pension plans, or the like.</w:t>
      </w:r>
    </w:p>
    <w:p w:rsidR="00A1516B" w:rsidRDefault="00A1516B"/>
    <w:p w:rsidR="00A1516B" w:rsidRDefault="00A1516B">
      <w:r>
        <w:t>Mr. Eager discussed cash flow for KERS nonhazardous</w:t>
      </w:r>
      <w:r w:rsidR="00985592">
        <w:t xml:space="preserve"> for </w:t>
      </w:r>
      <w:r w:rsidR="007F3A55">
        <w:t>FY</w:t>
      </w:r>
      <w:r w:rsidR="00985592">
        <w:t xml:space="preserve"> 2018. Member contributions were $110.8 million, employer contributions/appropriation</w:t>
      </w:r>
      <w:r w:rsidR="004B6F22">
        <w:t>s</w:t>
      </w:r>
      <w:r w:rsidR="00985592">
        <w:t xml:space="preserve"> were $689.1 million, </w:t>
      </w:r>
      <w:r w:rsidR="002A11C7">
        <w:t xml:space="preserve">a </w:t>
      </w:r>
      <w:r w:rsidR="004B6F22">
        <w:t xml:space="preserve">Northern Trust </w:t>
      </w:r>
      <w:r w:rsidR="002A11C7">
        <w:t>s</w:t>
      </w:r>
      <w:r w:rsidR="004B6F22">
        <w:t xml:space="preserve">ettlement </w:t>
      </w:r>
      <w:r w:rsidR="007F3A55">
        <w:t>was</w:t>
      </w:r>
      <w:r w:rsidR="004B6F22">
        <w:t xml:space="preserve"> $0.3 million, and investment income (dividends and interest) </w:t>
      </w:r>
      <w:r w:rsidR="00876D18">
        <w:t>were</w:t>
      </w:r>
      <w:r w:rsidR="004B6F22">
        <w:t xml:space="preserve"> $34.6 million. Total cash inflows were $834.8 million and total cash outflows were $991.7 million. For the CERS nonhazardous for </w:t>
      </w:r>
      <w:r w:rsidR="007F3A55">
        <w:t>FY</w:t>
      </w:r>
      <w:r w:rsidR="004B6F22">
        <w:t xml:space="preserve"> 2018, member contributions were $171.2 million, employer contributions were $358 million, Northern Trust </w:t>
      </w:r>
      <w:r w:rsidR="002A11C7">
        <w:t>s</w:t>
      </w:r>
      <w:r w:rsidR="004B6F22">
        <w:t>ettlement</w:t>
      </w:r>
      <w:r w:rsidR="00FC0BDB">
        <w:t>s</w:t>
      </w:r>
      <w:r w:rsidR="004B6F22">
        <w:t xml:space="preserve"> were $0.4 million, and investment income w</w:t>
      </w:r>
      <w:r w:rsidR="00FC0BDB">
        <w:t>as</w:t>
      </w:r>
      <w:r w:rsidR="004B6F22">
        <w:t xml:space="preserve"> $101.2 million. Total cash inflows were $630 million and total cash outflows were $760.8 million. </w:t>
      </w:r>
    </w:p>
    <w:p w:rsidR="00F91BA7" w:rsidRDefault="00F91BA7"/>
    <w:p w:rsidR="006C223E" w:rsidRDefault="00F91BA7">
      <w:r>
        <w:t xml:space="preserve">Mr. Eager discussed SB 2 compliance with </w:t>
      </w:r>
      <w:r w:rsidR="008D6F33">
        <w:t xml:space="preserve">KRS Chapters </w:t>
      </w:r>
      <w:r>
        <w:t xml:space="preserve">18A </w:t>
      </w:r>
      <w:r w:rsidR="008D6F33">
        <w:t xml:space="preserve">(State Personnel System) </w:t>
      </w:r>
      <w:r>
        <w:t>and 45A</w:t>
      </w:r>
      <w:r w:rsidR="008D6F33">
        <w:t xml:space="preserve"> (Model Procurement </w:t>
      </w:r>
      <w:r w:rsidR="00983F32">
        <w:t>Code</w:t>
      </w:r>
      <w:r w:rsidR="008D6F33">
        <w:t>)</w:t>
      </w:r>
      <w:r>
        <w:t xml:space="preserve">. Compared to the past, </w:t>
      </w:r>
      <w:r w:rsidR="002A11C7">
        <w:t xml:space="preserve">operating under </w:t>
      </w:r>
      <w:r>
        <w:t xml:space="preserve">18A and 45A </w:t>
      </w:r>
      <w:r w:rsidR="00CD293D">
        <w:t>requires more time</w:t>
      </w:r>
      <w:r w:rsidR="002A11C7">
        <w:t xml:space="preserve"> </w:t>
      </w:r>
      <w:r>
        <w:t>to complete tasks</w:t>
      </w:r>
      <w:r w:rsidR="00CD293D">
        <w:t>,</w:t>
      </w:r>
      <w:r>
        <w:t xml:space="preserve"> requires more management</w:t>
      </w:r>
      <w:r w:rsidR="002A11C7">
        <w:t xml:space="preserve"> and </w:t>
      </w:r>
      <w:r>
        <w:t>administrative time,</w:t>
      </w:r>
      <w:r w:rsidR="008D6F33">
        <w:t xml:space="preserve"> and</w:t>
      </w:r>
      <w:r>
        <w:t xml:space="preserve"> expense</w:t>
      </w:r>
      <w:r w:rsidR="006C223E">
        <w:t>,</w:t>
      </w:r>
      <w:r>
        <w:t xml:space="preserve"> and provides less flexibility and responsiveness</w:t>
      </w:r>
      <w:r w:rsidR="00A41B54">
        <w:t>.</w:t>
      </w:r>
    </w:p>
    <w:p w:rsidR="00F91BA7" w:rsidRDefault="006C223E">
      <w:r>
        <w:t xml:space="preserve"> </w:t>
      </w:r>
    </w:p>
    <w:p w:rsidR="00F91BA7" w:rsidRDefault="00F91BA7">
      <w:r>
        <w:t xml:space="preserve">Mr. Robben discussed SB </w:t>
      </w:r>
      <w:r w:rsidR="006F15C0">
        <w:t xml:space="preserve">2 and </w:t>
      </w:r>
      <w:r>
        <w:t>investment manager contracts</w:t>
      </w:r>
      <w:r w:rsidR="006C223E">
        <w:t xml:space="preserve">. </w:t>
      </w:r>
      <w:r>
        <w:t xml:space="preserve">KRS’ efforts have been split between prospective compliance and retrospective compliance. For new investments considered, KRS </w:t>
      </w:r>
      <w:r w:rsidR="006F15C0">
        <w:t xml:space="preserve">is using </w:t>
      </w:r>
      <w:r>
        <w:t>a gating process that</w:t>
      </w:r>
      <w:r w:rsidR="006F15C0">
        <w:t xml:space="preserve"> is sent to every prospective manager and outlines a list of requirements for doing business, which includes the SB</w:t>
      </w:r>
      <w:r w:rsidR="008D6F33">
        <w:t xml:space="preserve"> </w:t>
      </w:r>
      <w:r w:rsidR="006F15C0">
        <w:t>2 compliance requirements</w:t>
      </w:r>
      <w:r w:rsidR="00A41B54">
        <w:t xml:space="preserve">. </w:t>
      </w:r>
      <w:r w:rsidR="006C223E">
        <w:t>A</w:t>
      </w:r>
      <w:r w:rsidR="00F10B9C">
        <w:t>bout 35 to 40 percent of managers approac</w:t>
      </w:r>
      <w:r w:rsidR="006F15C0">
        <w:t>hed have decided to opt out.</w:t>
      </w:r>
    </w:p>
    <w:p w:rsidR="00F10B9C" w:rsidRDefault="00F10B9C"/>
    <w:p w:rsidR="00F10B9C" w:rsidRDefault="00D539BB">
      <w:r w:rsidRPr="006F15C0">
        <w:t>In response to a question from Mr. Fyffe</w:t>
      </w:r>
      <w:r w:rsidR="006F15C0" w:rsidRPr="006F15C0">
        <w:t xml:space="preserve"> with regards to reasons manager</w:t>
      </w:r>
      <w:r w:rsidR="001743C3">
        <w:t>s</w:t>
      </w:r>
      <w:r w:rsidR="006F15C0" w:rsidRPr="006F15C0">
        <w:t xml:space="preserve"> choose to opt out, </w:t>
      </w:r>
      <w:r w:rsidRPr="006F15C0">
        <w:t>Mr. Robben stated</w:t>
      </w:r>
      <w:r w:rsidR="006F15C0" w:rsidRPr="006F15C0">
        <w:t xml:space="preserve"> </w:t>
      </w:r>
      <w:r w:rsidR="006C223E">
        <w:t>are several reasons.</w:t>
      </w:r>
      <w:r w:rsidR="00A41B54">
        <w:t xml:space="preserve"> </w:t>
      </w:r>
      <w:r w:rsidR="006F15C0" w:rsidRPr="006F15C0">
        <w:t>In the private equity or real estate markets, KRS tends to invest primarily via general partnerships or commingled vehicles.</w:t>
      </w:r>
      <w:r w:rsidRPr="006F15C0">
        <w:t xml:space="preserve"> </w:t>
      </w:r>
      <w:r w:rsidR="006F15C0" w:rsidRPr="006F15C0">
        <w:t xml:space="preserve">For example, </w:t>
      </w:r>
      <w:r w:rsidRPr="006F15C0">
        <w:t>KRS is not large enough to buy a portfolio of office buildings</w:t>
      </w:r>
      <w:r w:rsidR="006F15C0" w:rsidRPr="006F15C0">
        <w:t xml:space="preserve"> so</w:t>
      </w:r>
      <w:r w:rsidR="001743C3">
        <w:t xml:space="preserve"> it </w:t>
      </w:r>
      <w:r w:rsidRPr="006F15C0">
        <w:t>become</w:t>
      </w:r>
      <w:r w:rsidR="006F15C0" w:rsidRPr="006F15C0">
        <w:t>s</w:t>
      </w:r>
      <w:r w:rsidRPr="006F15C0">
        <w:t xml:space="preserve"> a limited partner in a partnership </w:t>
      </w:r>
      <w:r w:rsidR="006F15C0" w:rsidRPr="006F15C0">
        <w:t xml:space="preserve">with other funds </w:t>
      </w:r>
      <w:r w:rsidRPr="006F15C0">
        <w:t>to go buy buildings</w:t>
      </w:r>
      <w:r w:rsidR="006F15C0" w:rsidRPr="006F15C0">
        <w:t xml:space="preserve"> toget</w:t>
      </w:r>
      <w:r w:rsidR="006F15C0" w:rsidRPr="000236C5">
        <w:t>her</w:t>
      </w:r>
      <w:r w:rsidR="00A41B54">
        <w:t xml:space="preserve">. </w:t>
      </w:r>
      <w:r w:rsidR="006C223E">
        <w:t>T</w:t>
      </w:r>
      <w:r w:rsidRPr="000236C5">
        <w:t xml:space="preserve">he </w:t>
      </w:r>
      <w:r w:rsidR="00CD3CD4" w:rsidRPr="000236C5">
        <w:t>predomina</w:t>
      </w:r>
      <w:r w:rsidR="006C223E">
        <w:t>nt</w:t>
      </w:r>
      <w:r w:rsidRPr="000236C5">
        <w:t xml:space="preserve"> comment</w:t>
      </w:r>
      <w:r w:rsidR="000236C5" w:rsidRPr="000236C5">
        <w:t xml:space="preserve"> among general partners is the </w:t>
      </w:r>
      <w:r w:rsidRPr="000236C5">
        <w:t xml:space="preserve">different standard of fiduciary care </w:t>
      </w:r>
      <w:r w:rsidR="000236C5" w:rsidRPr="000236C5">
        <w:t>created amongst</w:t>
      </w:r>
      <w:r w:rsidRPr="000236C5">
        <w:t xml:space="preserve"> the limited partners. </w:t>
      </w:r>
      <w:r w:rsidR="001554EC" w:rsidRPr="000236C5">
        <w:t xml:space="preserve">Secondly, </w:t>
      </w:r>
      <w:r w:rsidRPr="000236C5">
        <w:t>the requirement to post offering documents</w:t>
      </w:r>
      <w:r w:rsidR="002768F5">
        <w:t xml:space="preserve"> online</w:t>
      </w:r>
      <w:r w:rsidR="000236C5" w:rsidRPr="000236C5">
        <w:t xml:space="preserve"> is problematic</w:t>
      </w:r>
      <w:r w:rsidR="001554EC" w:rsidRPr="000236C5">
        <w:t xml:space="preserve"> b</w:t>
      </w:r>
      <w:r w:rsidR="002768F5">
        <w:t>ecause any fund currently open</w:t>
      </w:r>
      <w:r w:rsidRPr="000236C5">
        <w:t xml:space="preserve"> to investors</w:t>
      </w:r>
      <w:r w:rsidR="000236C5" w:rsidRPr="000236C5">
        <w:t xml:space="preserve"> is required by </w:t>
      </w:r>
      <w:r w:rsidR="00A41B54">
        <w:t>SEC Investment Manager Code of Ethics</w:t>
      </w:r>
      <w:r w:rsidR="00A41B54" w:rsidRPr="000236C5">
        <w:t xml:space="preserve"> </w:t>
      </w:r>
      <w:r w:rsidR="00A41B54">
        <w:t>(</w:t>
      </w:r>
      <w:r w:rsidR="000236C5" w:rsidRPr="000236C5">
        <w:t>SEC</w:t>
      </w:r>
      <w:r w:rsidR="00A41B54">
        <w:t>)</w:t>
      </w:r>
      <w:r w:rsidR="000236C5" w:rsidRPr="000236C5">
        <w:t xml:space="preserve"> law to </w:t>
      </w:r>
      <w:r w:rsidR="002768F5">
        <w:t>deliver</w:t>
      </w:r>
      <w:r w:rsidR="000236C5" w:rsidRPr="000236C5">
        <w:t xml:space="preserve"> offering d</w:t>
      </w:r>
      <w:r w:rsidR="002768F5">
        <w:t>ocuments</w:t>
      </w:r>
      <w:r w:rsidRPr="000236C5">
        <w:t xml:space="preserve"> one on one, in person, to an institutional qualified investor</w:t>
      </w:r>
      <w:r w:rsidR="001554EC" w:rsidRPr="000236C5">
        <w:t>. If</w:t>
      </w:r>
      <w:r w:rsidRPr="000236C5">
        <w:t xml:space="preserve"> KRS were to post those documents</w:t>
      </w:r>
      <w:r w:rsidR="004C32C4" w:rsidRPr="000236C5">
        <w:t xml:space="preserve"> </w:t>
      </w:r>
      <w:r w:rsidR="005D6E0A">
        <w:t>on its</w:t>
      </w:r>
      <w:bookmarkStart w:id="13" w:name="_GoBack"/>
      <w:bookmarkEnd w:id="13"/>
      <w:r w:rsidR="001554EC" w:rsidRPr="000236C5">
        <w:t xml:space="preserve"> </w:t>
      </w:r>
      <w:r w:rsidR="004C32C4" w:rsidRPr="000236C5">
        <w:t>web</w:t>
      </w:r>
      <w:r w:rsidR="00D85B71">
        <w:t xml:space="preserve"> </w:t>
      </w:r>
      <w:r w:rsidR="004C32C4" w:rsidRPr="000236C5">
        <w:t>site</w:t>
      </w:r>
      <w:r w:rsidR="001554EC" w:rsidRPr="000236C5">
        <w:t>,</w:t>
      </w:r>
      <w:r w:rsidRPr="000236C5">
        <w:t xml:space="preserve"> the SEC </w:t>
      </w:r>
      <w:r w:rsidR="006C223E">
        <w:t xml:space="preserve">might </w:t>
      </w:r>
      <w:r w:rsidR="00DB5633" w:rsidRPr="000236C5">
        <w:t>construe</w:t>
      </w:r>
      <w:r w:rsidRPr="000236C5">
        <w:t xml:space="preserve"> that to be a general offering</w:t>
      </w:r>
      <w:r w:rsidR="006C223E">
        <w:t xml:space="preserve"> that</w:t>
      </w:r>
      <w:r w:rsidR="000236C5" w:rsidRPr="000236C5">
        <w:t xml:space="preserve"> could put</w:t>
      </w:r>
      <w:r w:rsidRPr="000236C5">
        <w:t xml:space="preserve"> KRS at risk of losing </w:t>
      </w:r>
      <w:r w:rsidR="006C223E">
        <w:t>its</w:t>
      </w:r>
      <w:r w:rsidRPr="000236C5">
        <w:t xml:space="preserve"> SEC safe harbor</w:t>
      </w:r>
      <w:r w:rsidR="004C32C4" w:rsidRPr="000236C5">
        <w:t xml:space="preserve">. </w:t>
      </w:r>
      <w:r w:rsidR="001554EC" w:rsidRPr="000236C5">
        <w:t xml:space="preserve">Lastly, most </w:t>
      </w:r>
      <w:r w:rsidR="004C32C4" w:rsidRPr="000236C5">
        <w:t xml:space="preserve">managers feel like their Limited Partnership Agreement is </w:t>
      </w:r>
      <w:r w:rsidR="00DB5633" w:rsidRPr="000236C5">
        <w:t>proprietary</w:t>
      </w:r>
      <w:r w:rsidR="004C32C4" w:rsidRPr="000236C5">
        <w:t>.</w:t>
      </w:r>
    </w:p>
    <w:p w:rsidR="004C32C4" w:rsidRDefault="004C32C4"/>
    <w:p w:rsidR="000236C5" w:rsidRDefault="004C32C4">
      <w:pPr>
        <w:rPr>
          <w:highlight w:val="yellow"/>
        </w:rPr>
      </w:pPr>
      <w:r w:rsidRPr="00B77E59">
        <w:t xml:space="preserve">In response to a question from Representative Johnson regarding why investment fees </w:t>
      </w:r>
      <w:r w:rsidR="00D85B71">
        <w:t xml:space="preserve">decreasing, </w:t>
      </w:r>
      <w:r w:rsidRPr="00B77E59">
        <w:t xml:space="preserve">Mr. </w:t>
      </w:r>
      <w:r w:rsidR="000236C5" w:rsidRPr="00B77E59">
        <w:t xml:space="preserve">Robben </w:t>
      </w:r>
      <w:r w:rsidR="00B77E59" w:rsidRPr="00B77E59">
        <w:t xml:space="preserve">highlighted </w:t>
      </w:r>
      <w:r w:rsidR="00D85B71">
        <w:t>several</w:t>
      </w:r>
      <w:r w:rsidR="00B77E59" w:rsidRPr="00B77E59">
        <w:t xml:space="preserve"> of the investment committee</w:t>
      </w:r>
      <w:r w:rsidR="00D85B71">
        <w:t>’s initiatives</w:t>
      </w:r>
      <w:r w:rsidR="00A41B54">
        <w:t xml:space="preserve">. </w:t>
      </w:r>
      <w:r w:rsidR="002546DA">
        <w:t>T</w:t>
      </w:r>
      <w:r w:rsidR="00B77E59" w:rsidRPr="00B77E59">
        <w:t>he committee is unwilling to pay the older fee arrangement of 2 percent management fee and 20 percent carry</w:t>
      </w:r>
      <w:r w:rsidR="00A41B54">
        <w:t xml:space="preserve">. </w:t>
      </w:r>
      <w:r w:rsidR="00B77E59" w:rsidRPr="00B77E59">
        <w:t>Those type of strategies are not considered</w:t>
      </w:r>
      <w:r w:rsidR="00A41B54">
        <w:t xml:space="preserve">. </w:t>
      </w:r>
      <w:r w:rsidR="002546DA">
        <w:t>T</w:t>
      </w:r>
      <w:r w:rsidR="00B77E59" w:rsidRPr="00B77E59">
        <w:t>he committee and staff focus on identifying managers where KRS’ capital is important</w:t>
      </w:r>
      <w:r w:rsidR="00A41B54">
        <w:t xml:space="preserve">. </w:t>
      </w:r>
      <w:r w:rsidR="00B77E59" w:rsidRPr="00B77E59">
        <w:t>Staff is not interested in being the last $50 million into a $10 billion fund, but rather finding manager</w:t>
      </w:r>
      <w:r w:rsidR="00B77E59">
        <w:t>s</w:t>
      </w:r>
      <w:r w:rsidR="00B77E59" w:rsidRPr="00B77E59">
        <w:t xml:space="preserve"> where KRS is important to the fund, which then translates into better fees.</w:t>
      </w:r>
    </w:p>
    <w:p w:rsidR="000236C5" w:rsidRDefault="000236C5">
      <w:pPr>
        <w:rPr>
          <w:highlight w:val="yellow"/>
        </w:rPr>
      </w:pPr>
    </w:p>
    <w:p w:rsidR="00147537" w:rsidRDefault="00147537">
      <w:r>
        <w:t>In response to a comment from Senator Bowen</w:t>
      </w:r>
      <w:r w:rsidR="00B77E59">
        <w:t xml:space="preserve"> regarding funding levels</w:t>
      </w:r>
      <w:r>
        <w:t xml:space="preserve">, Mr. Eager stated that </w:t>
      </w:r>
      <w:r w:rsidR="00DB5633">
        <w:t>actuaries</w:t>
      </w:r>
      <w:r>
        <w:t xml:space="preserve"> </w:t>
      </w:r>
      <w:r w:rsidR="002546DA">
        <w:t>are</w:t>
      </w:r>
      <w:r w:rsidR="00B77E59">
        <w:t xml:space="preserve"> </w:t>
      </w:r>
      <w:r>
        <w:t>working on the June 30, 2018 valuation</w:t>
      </w:r>
      <w:r w:rsidR="00A41B54">
        <w:t xml:space="preserve">. </w:t>
      </w:r>
      <w:r w:rsidR="00B77E59">
        <w:t xml:space="preserve">Staff </w:t>
      </w:r>
      <w:r>
        <w:t>anticipate</w:t>
      </w:r>
      <w:r w:rsidR="00B77E59">
        <w:t>s</w:t>
      </w:r>
      <w:r>
        <w:t xml:space="preserve"> </w:t>
      </w:r>
      <w:r w:rsidR="00CD3CD4">
        <w:t>very little</w:t>
      </w:r>
      <w:r>
        <w:t xml:space="preserve"> movement</w:t>
      </w:r>
      <w:r w:rsidR="00B77E59">
        <w:t xml:space="preserve"> in the </w:t>
      </w:r>
      <w:r>
        <w:t>level of funding. Looking a</w:t>
      </w:r>
      <w:r w:rsidR="002838BD">
        <w:t>t</w:t>
      </w:r>
      <w:r>
        <w:t xml:space="preserve"> longer term projections</w:t>
      </w:r>
      <w:r w:rsidR="002838BD">
        <w:t xml:space="preserve"> with</w:t>
      </w:r>
      <w:r>
        <w:t xml:space="preserve"> a 30 year horizon starts with small </w:t>
      </w:r>
      <w:r w:rsidR="00DB5633">
        <w:t>increments</w:t>
      </w:r>
      <w:r w:rsidR="00B77E59">
        <w:t xml:space="preserve"> and gets bigger later in that time period.</w:t>
      </w:r>
    </w:p>
    <w:p w:rsidR="002838BD" w:rsidRDefault="002838BD"/>
    <w:p w:rsidR="002838BD" w:rsidRDefault="00326CE0">
      <w:r>
        <w:t>In response to a question from Mr. Chilton</w:t>
      </w:r>
      <w:r w:rsidR="00FF3E22">
        <w:t xml:space="preserve"> regarding cash flow</w:t>
      </w:r>
      <w:r>
        <w:t xml:space="preserve">, Mr. Eager </w:t>
      </w:r>
      <w:r w:rsidR="00FF3E22">
        <w:t xml:space="preserve">noted that both </w:t>
      </w:r>
      <w:r w:rsidR="002659CD">
        <w:t>the higher funding</w:t>
      </w:r>
      <w:r w:rsidR="00FF3E22">
        <w:t xml:space="preserve"> levels of </w:t>
      </w:r>
      <w:r w:rsidR="002659CD">
        <w:t>CERS</w:t>
      </w:r>
      <w:r w:rsidR="0031263F">
        <w:t xml:space="preserve">, </w:t>
      </w:r>
      <w:r w:rsidR="00FF3E22">
        <w:t>added return</w:t>
      </w:r>
      <w:r w:rsidR="0031263F">
        <w:t xml:space="preserve">, and active members all lead </w:t>
      </w:r>
      <w:r w:rsidR="00FF3E22">
        <w:t>to strong</w:t>
      </w:r>
      <w:r w:rsidR="0031263F">
        <w:t>er cash flow</w:t>
      </w:r>
      <w:r w:rsidR="00FF3E22">
        <w:t xml:space="preserve"> relative to KERS</w:t>
      </w:r>
      <w:r w:rsidR="00A41B54">
        <w:t xml:space="preserve">. </w:t>
      </w:r>
      <w:r w:rsidR="00FF3E22">
        <w:t xml:space="preserve">For example, if </w:t>
      </w:r>
      <w:r w:rsidR="002659CD">
        <w:t xml:space="preserve">CERS’ assets are around $7 billion and </w:t>
      </w:r>
      <w:r w:rsidR="00FF3E22">
        <w:t xml:space="preserve">the plans return is </w:t>
      </w:r>
      <w:r w:rsidR="002659CD">
        <w:t>1 percent</w:t>
      </w:r>
      <w:r w:rsidR="00FF3E22">
        <w:t xml:space="preserve"> higher than KE</w:t>
      </w:r>
      <w:r w:rsidR="002659CD">
        <w:t>RS</w:t>
      </w:r>
      <w:r w:rsidR="00FF3E22">
        <w:t xml:space="preserve">, just that difference </w:t>
      </w:r>
      <w:r w:rsidR="002659CD">
        <w:t xml:space="preserve">adds $70 million. </w:t>
      </w:r>
      <w:r w:rsidR="0031263F">
        <w:t>Additionally, the r</w:t>
      </w:r>
      <w:r w:rsidR="002659CD">
        <w:t>atio between contributions and benefits is far better in CERS than KERS. In KERS nonhazardous there are 40,000 retirees and 36,000 actives. In CERS the ratio is about 1.4 to 1 roughly.</w:t>
      </w:r>
    </w:p>
    <w:p w:rsidR="002659CD" w:rsidRDefault="002659CD"/>
    <w:p w:rsidR="002659CD" w:rsidRDefault="002659CD">
      <w:r>
        <w:t>In response to a question from Senator Bowen, Mr. Robben stated that to his knowledge under SB 2 compliance, he has not had anyone make a reasonable case that the contracts cannot be shared with all appropriate parties. He stated the managers feel by posting to the website</w:t>
      </w:r>
      <w:r w:rsidR="002768F5">
        <w:t>,</w:t>
      </w:r>
      <w:r>
        <w:t xml:space="preserve"> </w:t>
      </w:r>
      <w:r w:rsidR="002768F5">
        <w:t>their contract</w:t>
      </w:r>
      <w:r>
        <w:t xml:space="preserve"> is shared with their </w:t>
      </w:r>
      <w:r w:rsidR="00105D6B">
        <w:t>competitors</w:t>
      </w:r>
      <w:r>
        <w:t>.</w:t>
      </w:r>
      <w:r w:rsidR="009E16BE">
        <w:t xml:space="preserve"> Senator Bowen asked if the information had been shared with anyone, such as the Auditor and/or Legislators. Mr. Eager stated that KRS is in the middle of their APA audit and does not know of any Legislator who has asked for the information.</w:t>
      </w:r>
      <w:r w:rsidR="00B57196">
        <w:t xml:space="preserve"> Mr. Robben stated that their APA Auditor has unlimited access to all investment contracts.</w:t>
      </w:r>
    </w:p>
    <w:p w:rsidR="00B57196" w:rsidRDefault="00B57196"/>
    <w:p w:rsidR="00B57196" w:rsidRDefault="00B57196">
      <w:r>
        <w:t>Auditor Harmon stated that his office was in the middle of a f</w:t>
      </w:r>
      <w:r w:rsidR="00915B0F">
        <w:t>inancial statement audit of KRS</w:t>
      </w:r>
      <w:r>
        <w:t xml:space="preserve"> </w:t>
      </w:r>
      <w:r w:rsidR="0029169D">
        <w:t>and have</w:t>
      </w:r>
      <w:r>
        <w:t xml:space="preserve"> made the decision to expand testing to include many elements of </w:t>
      </w:r>
      <w:r w:rsidRPr="000B0C8B">
        <w:t>SB 2.</w:t>
      </w:r>
    </w:p>
    <w:p w:rsidR="00B57196" w:rsidRDefault="00B57196"/>
    <w:p w:rsidR="00B57196" w:rsidRDefault="002B7CA9">
      <w:r>
        <w:t xml:space="preserve">In response to a question form Representative Miller, Mr. Robben stated that </w:t>
      </w:r>
      <w:r w:rsidR="0013371D">
        <w:t>KRS will not be a top tier client to</w:t>
      </w:r>
      <w:r>
        <w:t xml:space="preserve"> certain managers.</w:t>
      </w:r>
    </w:p>
    <w:p w:rsidR="009B2409" w:rsidRDefault="009B2409"/>
    <w:p w:rsidR="00915B0F" w:rsidRDefault="009B2409">
      <w:r>
        <w:t>Mr. Eager discussed the</w:t>
      </w:r>
      <w:r w:rsidR="00915B0F">
        <w:t xml:space="preserve"> requirement to incorporate the </w:t>
      </w:r>
      <w:r>
        <w:t xml:space="preserve">CFA </w:t>
      </w:r>
      <w:r w:rsidR="00BD0FE6">
        <w:t xml:space="preserve">Institute </w:t>
      </w:r>
      <w:r>
        <w:t>Code of Ethics</w:t>
      </w:r>
      <w:r w:rsidR="00BD0FE6">
        <w:t xml:space="preserve"> and Standards of Professional</w:t>
      </w:r>
      <w:r w:rsidR="000452BD">
        <w:t xml:space="preserve"> Conduct</w:t>
      </w:r>
      <w:r w:rsidR="00BD0FE6">
        <w:t xml:space="preserve"> </w:t>
      </w:r>
      <w:r w:rsidR="00C17F7F">
        <w:t xml:space="preserve">and Asset Manager Code of Conduct (CFA Code) </w:t>
      </w:r>
      <w:r w:rsidR="00915B0F">
        <w:t xml:space="preserve">into manager contracts </w:t>
      </w:r>
      <w:r>
        <w:t xml:space="preserve">and </w:t>
      </w:r>
      <w:r w:rsidR="00915B0F">
        <w:t xml:space="preserve">noted staff often gets a </w:t>
      </w:r>
      <w:r>
        <w:t>push</w:t>
      </w:r>
      <w:r w:rsidR="00915B0F">
        <w:t xml:space="preserve"> back from managers. </w:t>
      </w:r>
      <w:r w:rsidR="003532C9">
        <w:t xml:space="preserve">KRS would like to </w:t>
      </w:r>
      <w:r w:rsidR="00915B0F">
        <w:t>suggest</w:t>
      </w:r>
      <w:r w:rsidR="003532C9">
        <w:t xml:space="preserve"> replacing</w:t>
      </w:r>
      <w:r w:rsidR="00915B0F">
        <w:t xml:space="preserve"> the CFA Code </w:t>
      </w:r>
      <w:r w:rsidR="003532C9">
        <w:t>with</w:t>
      </w:r>
      <w:r w:rsidR="00915B0F">
        <w:t xml:space="preserve"> the SEC. </w:t>
      </w:r>
      <w:r w:rsidR="002A5A53">
        <w:t>T</w:t>
      </w:r>
      <w:r w:rsidR="00915B0F">
        <w:t xml:space="preserve">he SEC requirement is an industry standard, carries punitive powers, and includes periodic on-site audits, whereas the CFA </w:t>
      </w:r>
      <w:r w:rsidR="002768F5">
        <w:t>C</w:t>
      </w:r>
      <w:r w:rsidR="00915B0F">
        <w:t>ode lacks</w:t>
      </w:r>
      <w:r w:rsidR="002768F5">
        <w:t xml:space="preserve"> enforcement</w:t>
      </w:r>
      <w:r w:rsidR="00C17F7F">
        <w:t xml:space="preserve"> authority</w:t>
      </w:r>
      <w:r w:rsidR="00915B0F">
        <w:t>.</w:t>
      </w:r>
    </w:p>
    <w:p w:rsidR="00915B0F" w:rsidRDefault="00915B0F"/>
    <w:p w:rsidR="00BD0FE6" w:rsidRDefault="00BD0FE6">
      <w:r>
        <w:t>In response to a question from Representative Kay, Mr. Eager stated that the SEC</w:t>
      </w:r>
      <w:r w:rsidR="003532C9">
        <w:t xml:space="preserve"> is more stringent than the CFA </w:t>
      </w:r>
      <w:r w:rsidR="00C17F7F">
        <w:t xml:space="preserve">Code </w:t>
      </w:r>
      <w:r w:rsidR="003532C9">
        <w:t>and includes punitive powers.</w:t>
      </w:r>
    </w:p>
    <w:p w:rsidR="00BD0FE6" w:rsidRDefault="00BD0FE6"/>
    <w:p w:rsidR="00BD0FE6" w:rsidRDefault="00310B2A">
      <w:r>
        <w:t xml:space="preserve">Representative Kay commented that it was his understanding there are over 100 contracts that are not disclosed on the website, which is out of compliance with SB 2. Also, there are many contracts that are overly redacted </w:t>
      </w:r>
      <w:r w:rsidR="003532C9">
        <w:t xml:space="preserve">and other managers who </w:t>
      </w:r>
      <w:r>
        <w:t xml:space="preserve">do not want to do business with KRS because </w:t>
      </w:r>
      <w:r w:rsidR="003532C9">
        <w:t xml:space="preserve">of the </w:t>
      </w:r>
      <w:r w:rsidR="00105D6B">
        <w:t>stronger</w:t>
      </w:r>
      <w:r w:rsidR="003532C9">
        <w:t>,</w:t>
      </w:r>
      <w:r>
        <w:t xml:space="preserve"> more stringent </w:t>
      </w:r>
      <w:r w:rsidR="003532C9">
        <w:t xml:space="preserve">transparency </w:t>
      </w:r>
      <w:r>
        <w:t>laws</w:t>
      </w:r>
      <w:r w:rsidR="003532C9">
        <w:t xml:space="preserve">. Instead, </w:t>
      </w:r>
      <w:r>
        <w:t xml:space="preserve">they want their </w:t>
      </w:r>
      <w:r w:rsidR="00105D6B">
        <w:t>lobbyists</w:t>
      </w:r>
      <w:r>
        <w:t xml:space="preserve"> to deal with legislators and the </w:t>
      </w:r>
      <w:r w:rsidR="00105D6B">
        <w:t>executive</w:t>
      </w:r>
      <w:r>
        <w:t xml:space="preserve"> branch to change the law so they do not have to comply. </w:t>
      </w:r>
      <w:r w:rsidR="00200353">
        <w:t xml:space="preserve">Representative Kay stated that KRS is not in full compliance with 18A, 45A, CFA, and contract disclosures. Mr. Eager </w:t>
      </w:r>
      <w:r w:rsidR="00105D6B">
        <w:t>responded</w:t>
      </w:r>
      <w:r w:rsidR="00200353">
        <w:t xml:space="preserve"> that KRS </w:t>
      </w:r>
      <w:r w:rsidR="002A5A53">
        <w:t>is</w:t>
      </w:r>
      <w:r w:rsidR="00200353">
        <w:t xml:space="preserve"> in comple</w:t>
      </w:r>
      <w:r w:rsidR="003532C9">
        <w:t>te compliance with 18A and 45A.</w:t>
      </w:r>
      <w:r w:rsidR="00BE06C8">
        <w:t xml:space="preserve"> Mr. Robben explained that all fees are reported and published on the website.</w:t>
      </w:r>
    </w:p>
    <w:p w:rsidR="00200353" w:rsidRDefault="00200353"/>
    <w:p w:rsidR="00200353" w:rsidRDefault="00200353">
      <w:r>
        <w:t xml:space="preserve">In response to a question from Representative Miller, Mr. Eager </w:t>
      </w:r>
      <w:r w:rsidR="00F26858">
        <w:t xml:space="preserve">indicated the </w:t>
      </w:r>
      <w:r>
        <w:t xml:space="preserve">investment </w:t>
      </w:r>
      <w:r w:rsidR="00F26858">
        <w:t xml:space="preserve">manager who returned </w:t>
      </w:r>
      <w:r>
        <w:t>$58 milli</w:t>
      </w:r>
      <w:r w:rsidR="00F34D79">
        <w:t>on</w:t>
      </w:r>
      <w:r w:rsidR="00F26858">
        <w:t xml:space="preserve"> to KRS did so as a result of the CFA </w:t>
      </w:r>
      <w:r w:rsidR="008245FD">
        <w:t>C</w:t>
      </w:r>
      <w:r w:rsidR="00F26858">
        <w:t>ode requirement</w:t>
      </w:r>
      <w:r w:rsidR="00A41B54">
        <w:t xml:space="preserve">. </w:t>
      </w:r>
      <w:r w:rsidR="00F26858">
        <w:t xml:space="preserve">Mr. Robben stated it had less to do with what the code </w:t>
      </w:r>
      <w:r w:rsidR="008245FD">
        <w:t>actually</w:t>
      </w:r>
      <w:r w:rsidR="00F26858">
        <w:t xml:space="preserve"> said but </w:t>
      </w:r>
      <w:r w:rsidR="002A5A53">
        <w:t xml:space="preserve">that </w:t>
      </w:r>
      <w:r w:rsidR="00F26858">
        <w:t xml:space="preserve">the manager believed it was creating a </w:t>
      </w:r>
      <w:r w:rsidR="002A5A53">
        <w:t>different fiduciary</w:t>
      </w:r>
      <w:r w:rsidR="00F26858">
        <w:t xml:space="preserve"> standard within the partnership.</w:t>
      </w:r>
    </w:p>
    <w:p w:rsidR="0071402F" w:rsidRDefault="0071402F"/>
    <w:p w:rsidR="0071402F" w:rsidRDefault="0071402F">
      <w:r>
        <w:t xml:space="preserve">In response to a </w:t>
      </w:r>
      <w:r w:rsidR="00096D96">
        <w:t>comment</w:t>
      </w:r>
      <w:r>
        <w:t xml:space="preserve"> from Senator Bowen, Mr. Eager stated that </w:t>
      </w:r>
      <w:r w:rsidR="00F26858">
        <w:t xml:space="preserve">with regards to transitioning </w:t>
      </w:r>
      <w:r>
        <w:t xml:space="preserve">from the CFA to the SEC standards, KRS has </w:t>
      </w:r>
      <w:r w:rsidR="00105D6B">
        <w:t>beg</w:t>
      </w:r>
      <w:r w:rsidR="008245FD">
        <w:t>un</w:t>
      </w:r>
      <w:r w:rsidR="003532C9">
        <w:t xml:space="preserve"> </w:t>
      </w:r>
      <w:r w:rsidR="00F26858">
        <w:t>a</w:t>
      </w:r>
      <w:r w:rsidR="00E433D9">
        <w:t xml:space="preserve"> discuss</w:t>
      </w:r>
      <w:r w:rsidR="003532C9">
        <w:t xml:space="preserve">ion </w:t>
      </w:r>
      <w:r>
        <w:t>with</w:t>
      </w:r>
      <w:r w:rsidR="003532C9">
        <w:t xml:space="preserve"> the </w:t>
      </w:r>
      <w:r>
        <w:t>Teachers’ Retirement System (TRS)</w:t>
      </w:r>
      <w:r w:rsidR="00E433D9">
        <w:t>.</w:t>
      </w:r>
    </w:p>
    <w:p w:rsidR="00E433D9" w:rsidRDefault="00E433D9"/>
    <w:p w:rsidR="00F26858" w:rsidRDefault="00E433D9" w:rsidP="00F26858">
      <w:r w:rsidRPr="005F159C">
        <w:t xml:space="preserve">Mr. Eager discussed </w:t>
      </w:r>
      <w:r w:rsidR="00F26858" w:rsidRPr="005F159C">
        <w:t>staff’s work on creating new</w:t>
      </w:r>
      <w:r w:rsidRPr="005F159C">
        <w:t xml:space="preserve"> opt-out provision</w:t>
      </w:r>
      <w:r w:rsidR="00F26858" w:rsidRPr="005F159C">
        <w:t>s for employers and stated that KRS had formed a four person task force to lead the project</w:t>
      </w:r>
      <w:r w:rsidR="00A41B54">
        <w:t xml:space="preserve">. </w:t>
      </w:r>
      <w:r w:rsidR="00F26858" w:rsidRPr="005F159C">
        <w:t>Recommendations will be made by staff by December of 2018</w:t>
      </w:r>
      <w:r w:rsidR="00A41B54">
        <w:t xml:space="preserve">. </w:t>
      </w:r>
      <w:r w:rsidR="00F26858" w:rsidRPr="005F159C">
        <w:t>The task force is spending a lot of time with actuaries, legislators, and employers</w:t>
      </w:r>
      <w:r w:rsidR="00A41B54">
        <w:t xml:space="preserve">. </w:t>
      </w:r>
      <w:r w:rsidR="005F159C" w:rsidRPr="005F159C">
        <w:t>Initial focus has been placed on roughly 120 quasi</w:t>
      </w:r>
      <w:r w:rsidR="008245FD">
        <w:t>-</w:t>
      </w:r>
      <w:r w:rsidR="005F159C" w:rsidRPr="005F159C">
        <w:t>state agencies that account for approximately $3.5 billion in unfunded liabilities.</w:t>
      </w:r>
    </w:p>
    <w:p w:rsidR="00647FCE" w:rsidRDefault="00647FCE"/>
    <w:p w:rsidR="00647FCE" w:rsidRDefault="005D6E0A">
      <w:r>
        <w:t xml:space="preserve">In </w:t>
      </w:r>
      <w:r w:rsidR="00647FCE">
        <w:t xml:space="preserve">response to a question form Senator Bowen, Mr. Eager stated </w:t>
      </w:r>
      <w:r w:rsidR="005F159C">
        <w:t xml:space="preserve">that </w:t>
      </w:r>
      <w:r w:rsidR="00647FCE">
        <w:t xml:space="preserve">if HB 362 were enacted as originally </w:t>
      </w:r>
      <w:r w:rsidR="008245FD">
        <w:t>introduced</w:t>
      </w:r>
      <w:r w:rsidR="00CD166B">
        <w:t xml:space="preserve">, the impact would be </w:t>
      </w:r>
      <w:r w:rsidR="00591E44">
        <w:t xml:space="preserve">noticed </w:t>
      </w:r>
      <w:r w:rsidR="00CD166B">
        <w:t>on day one</w:t>
      </w:r>
      <w:r w:rsidR="00A41B54">
        <w:t xml:space="preserve">. </w:t>
      </w:r>
      <w:r w:rsidR="008245FD">
        <w:br/>
        <w:t>The impact would not be catastrophic</w:t>
      </w:r>
      <w:r w:rsidR="005F159C">
        <w:t xml:space="preserve"> but </w:t>
      </w:r>
      <w:r w:rsidR="00096D96">
        <w:t xml:space="preserve">would grow over time. </w:t>
      </w:r>
      <w:r w:rsidR="008245FD">
        <w:t>If enacted, the bill</w:t>
      </w:r>
      <w:r w:rsidR="005F159C">
        <w:t xml:space="preserve"> effectively would </w:t>
      </w:r>
      <w:r w:rsidR="001C2434">
        <w:t>give the agencies opting out</w:t>
      </w:r>
      <w:r w:rsidR="005F159C">
        <w:t xml:space="preserve"> a $3.5 billion loan </w:t>
      </w:r>
      <w:r w:rsidR="005660F2">
        <w:t xml:space="preserve">for 40 years </w:t>
      </w:r>
      <w:r w:rsidR="005F159C">
        <w:t>with no interest and no ability to earn investment returns.</w:t>
      </w:r>
    </w:p>
    <w:p w:rsidR="00647FCE" w:rsidRDefault="00647FCE"/>
    <w:p w:rsidR="0044042D" w:rsidRDefault="00647FCE" w:rsidP="0044042D">
      <w:r>
        <w:t xml:space="preserve">In response to a question from Representative Simpson, Mr. Eager stated that Kentucky is unique </w:t>
      </w:r>
      <w:r w:rsidR="0044042D">
        <w:t xml:space="preserve">with regards to </w:t>
      </w:r>
      <w:r>
        <w:t xml:space="preserve">the level of funding in KERS </w:t>
      </w:r>
      <w:r w:rsidR="00105D6B">
        <w:t>nonhazardous</w:t>
      </w:r>
      <w:r w:rsidR="00A41B54">
        <w:t xml:space="preserve">. </w:t>
      </w:r>
      <w:r w:rsidR="0044042D">
        <w:t>He mentioned a recent conference</w:t>
      </w:r>
      <w:r w:rsidR="002A5A53">
        <w:t xml:space="preserve"> in which</w:t>
      </w:r>
      <w:r w:rsidR="0044042D">
        <w:t xml:space="preserve"> he asked to spend time with other state plans to discuss employer opt-out issues</w:t>
      </w:r>
      <w:r w:rsidR="002A5A53">
        <w:t xml:space="preserve">; </w:t>
      </w:r>
      <w:r w:rsidR="0044042D">
        <w:t>there were effectivel</w:t>
      </w:r>
      <w:r w:rsidR="004F41B4">
        <w:t>y no other states dealing with</w:t>
      </w:r>
      <w:r w:rsidR="0044042D">
        <w:t xml:space="preserve"> similar issues. Kentucky </w:t>
      </w:r>
      <w:r w:rsidR="002A5A53">
        <w:t xml:space="preserve">is </w:t>
      </w:r>
      <w:r w:rsidR="0044042D">
        <w:t>in a unique spot with the quasi challenge.</w:t>
      </w:r>
    </w:p>
    <w:p w:rsidR="00647FCE" w:rsidRDefault="0044042D" w:rsidP="0044042D">
      <w:r>
        <w:t xml:space="preserve"> </w:t>
      </w:r>
    </w:p>
    <w:p w:rsidR="00647FCE" w:rsidRDefault="00647FCE">
      <w:r>
        <w:rPr>
          <w:b/>
        </w:rPr>
        <w:t>Investment and Cash Flow Quarterly Update/SB 2 Compliance Review/Investment Returns Assumption Detail – TRS</w:t>
      </w:r>
    </w:p>
    <w:p w:rsidR="00647FCE" w:rsidRDefault="00974844" w:rsidP="005854EB">
      <w:r>
        <w:t>Beau</w:t>
      </w:r>
      <w:r w:rsidR="00B60E15">
        <w:t xml:space="preserve"> Barnes</w:t>
      </w:r>
      <w:r w:rsidR="002A5A53">
        <w:t>, LRC staff,</w:t>
      </w:r>
      <w:r w:rsidR="00B60E15">
        <w:t xml:space="preserve"> </w:t>
      </w:r>
      <w:r>
        <w:t>and P.J. Kelly, AON Hewitt</w:t>
      </w:r>
      <w:r w:rsidR="002A5A53">
        <w:t>,</w:t>
      </w:r>
      <w:r>
        <w:t xml:space="preserve"> presented</w:t>
      </w:r>
      <w:r w:rsidR="00A41B54">
        <w:t xml:space="preserve">. </w:t>
      </w:r>
      <w:r>
        <w:t xml:space="preserve">Mr. Barnes </w:t>
      </w:r>
      <w:r w:rsidR="00B60E15">
        <w:t>discuss</w:t>
      </w:r>
      <w:r w:rsidR="002A5A53">
        <w:t>ed</w:t>
      </w:r>
      <w:r>
        <w:t xml:space="preserve"> </w:t>
      </w:r>
      <w:r w:rsidR="00B60E15">
        <w:t>SB 2 compliance</w:t>
      </w:r>
      <w:r>
        <w:t xml:space="preserve"> and addressing several issues identified during the committee’s prior meeting in June</w:t>
      </w:r>
      <w:r w:rsidR="00A41B54">
        <w:t>.</w:t>
      </w:r>
      <w:r>
        <w:t xml:space="preserve"> First, with regards</w:t>
      </w:r>
      <w:r w:rsidR="00B60E15">
        <w:t xml:space="preserve"> to partial compliance with the </w:t>
      </w:r>
      <w:r>
        <w:t>CFA C</w:t>
      </w:r>
      <w:r w:rsidR="00B60E15">
        <w:t xml:space="preserve">odes of </w:t>
      </w:r>
      <w:r>
        <w:t>C</w:t>
      </w:r>
      <w:r w:rsidR="00B60E15">
        <w:t>onduct</w:t>
      </w:r>
      <w:r>
        <w:t xml:space="preserve">, </w:t>
      </w:r>
      <w:r w:rsidR="00B60E15">
        <w:t xml:space="preserve">Mr. Barnes </w:t>
      </w:r>
      <w:r>
        <w:t>stated TRS believe</w:t>
      </w:r>
      <w:r w:rsidR="00983F32">
        <w:t>s</w:t>
      </w:r>
      <w:r>
        <w:t xml:space="preserve"> it would be a </w:t>
      </w:r>
      <w:r w:rsidR="00B60E15">
        <w:t xml:space="preserve">great idea to codify minimal ethical standards in statute. What TRS </w:t>
      </w:r>
      <w:r>
        <w:t xml:space="preserve">has found </w:t>
      </w:r>
      <w:r w:rsidR="00B60E15">
        <w:t>with</w:t>
      </w:r>
      <w:r>
        <w:t xml:space="preserve"> their</w:t>
      </w:r>
      <w:r w:rsidR="00B60E15">
        <w:t xml:space="preserve"> </w:t>
      </w:r>
      <w:r>
        <w:t>managers is that each ha</w:t>
      </w:r>
      <w:r w:rsidR="002A5A53">
        <w:t>s</w:t>
      </w:r>
      <w:r w:rsidR="00B60E15">
        <w:t xml:space="preserve"> </w:t>
      </w:r>
      <w:r>
        <w:t xml:space="preserve">created their </w:t>
      </w:r>
      <w:r w:rsidR="00B60E15">
        <w:t>own code of conduct that meet</w:t>
      </w:r>
      <w:r>
        <w:t>s</w:t>
      </w:r>
      <w:r w:rsidR="00B60E15">
        <w:t xml:space="preserve"> or exceed</w:t>
      </w:r>
      <w:r w:rsidR="00983F32">
        <w:t>s</w:t>
      </w:r>
      <w:r w:rsidR="00B60E15">
        <w:t xml:space="preserve"> the CFA</w:t>
      </w:r>
      <w:r>
        <w:t xml:space="preserve"> Code</w:t>
      </w:r>
      <w:r w:rsidR="00B60E15">
        <w:t xml:space="preserve">. TRS </w:t>
      </w:r>
      <w:r>
        <w:t xml:space="preserve">had </w:t>
      </w:r>
      <w:r w:rsidR="00B60E15">
        <w:t xml:space="preserve">requested </w:t>
      </w:r>
      <w:r>
        <w:t xml:space="preserve">a copy of the </w:t>
      </w:r>
      <w:r w:rsidR="00B60E15">
        <w:t>c</w:t>
      </w:r>
      <w:r w:rsidR="004A086A">
        <w:t xml:space="preserve">ode of conduct from </w:t>
      </w:r>
      <w:r w:rsidR="002A5A53">
        <w:t xml:space="preserve">all </w:t>
      </w:r>
      <w:r w:rsidR="00B60E15">
        <w:t>manager</w:t>
      </w:r>
      <w:r>
        <w:t>s</w:t>
      </w:r>
      <w:r w:rsidR="00B60E15">
        <w:t xml:space="preserve">. </w:t>
      </w:r>
      <w:r w:rsidR="005854EB">
        <w:t xml:space="preserve">Secondly, with regards to some partial compliance with the </w:t>
      </w:r>
      <w:r w:rsidR="00983F32">
        <w:t>Model Procurement Code</w:t>
      </w:r>
      <w:r w:rsidR="005854EB">
        <w:t xml:space="preserve">, Mr. Barnes noted that </w:t>
      </w:r>
      <w:r w:rsidR="00CE0D71">
        <w:t xml:space="preserve">TRS </w:t>
      </w:r>
      <w:r w:rsidR="00983F32">
        <w:t>was in the procurement process and</w:t>
      </w:r>
      <w:r w:rsidR="005854EB">
        <w:t xml:space="preserve"> has now submitted each </w:t>
      </w:r>
      <w:r w:rsidR="00CE0D71">
        <w:t xml:space="preserve">contract </w:t>
      </w:r>
      <w:r w:rsidR="005854EB">
        <w:t>to the</w:t>
      </w:r>
      <w:r w:rsidR="00CE0D71">
        <w:t xml:space="preserve"> </w:t>
      </w:r>
      <w:r w:rsidR="00983F32">
        <w:t>Government Contract Review Committee</w:t>
      </w:r>
      <w:r w:rsidR="005854EB">
        <w:t xml:space="preserve"> for review</w:t>
      </w:r>
      <w:r w:rsidR="00983F32">
        <w:t>,</w:t>
      </w:r>
      <w:r w:rsidR="005854EB">
        <w:t xml:space="preserve"> and TRS is c</w:t>
      </w:r>
      <w:r w:rsidR="00CD166B">
        <w:t xml:space="preserve">ompliant with SB 2 requirements regarding the </w:t>
      </w:r>
      <w:r w:rsidR="00983F32">
        <w:t>Model Procurement Code</w:t>
      </w:r>
      <w:r w:rsidR="00CD166B">
        <w:t xml:space="preserve">. </w:t>
      </w:r>
      <w:r w:rsidR="005854EB">
        <w:t xml:space="preserve">Third, LRC staff identified some partial compliance </w:t>
      </w:r>
      <w:r w:rsidR="00983F32">
        <w:t>as</w:t>
      </w:r>
      <w:r w:rsidR="005854EB">
        <w:t xml:space="preserve"> to transparency, which </w:t>
      </w:r>
      <w:r w:rsidR="00CD166B">
        <w:t xml:space="preserve">Mr. Barnes </w:t>
      </w:r>
      <w:r w:rsidR="005854EB">
        <w:t>indicated had been addressed</w:t>
      </w:r>
      <w:r w:rsidR="00A41B54">
        <w:t xml:space="preserve">. </w:t>
      </w:r>
      <w:r w:rsidR="00CD166B">
        <w:t xml:space="preserve">TRS will have quarterly updates posted </w:t>
      </w:r>
      <w:r w:rsidR="005854EB">
        <w:t xml:space="preserve">online </w:t>
      </w:r>
      <w:r w:rsidR="00CD166B">
        <w:t>quarter</w:t>
      </w:r>
      <w:r w:rsidR="005854EB">
        <w:t>ly</w:t>
      </w:r>
      <w:r w:rsidR="002A5A53">
        <w:t>.</w:t>
      </w:r>
      <w:r w:rsidR="00CD166B">
        <w:t xml:space="preserve"> </w:t>
      </w:r>
      <w:r w:rsidR="005854EB">
        <w:t xml:space="preserve">TRS had posted </w:t>
      </w:r>
      <w:r w:rsidR="00836A06">
        <w:t>most of its</w:t>
      </w:r>
      <w:r w:rsidR="00CD166B">
        <w:t xml:space="preserve"> traditional contracts </w:t>
      </w:r>
      <w:r w:rsidR="005854EB">
        <w:t>online</w:t>
      </w:r>
      <w:r w:rsidR="00A41B54">
        <w:t xml:space="preserve">. </w:t>
      </w:r>
      <w:r w:rsidR="002A5A53">
        <w:t>S</w:t>
      </w:r>
      <w:r w:rsidR="00CD166B">
        <w:t>ome other contracts are</w:t>
      </w:r>
      <w:r w:rsidR="005854EB">
        <w:t xml:space="preserve"> only</w:t>
      </w:r>
      <w:r w:rsidR="00CD166B">
        <w:t xml:space="preserve"> listed by name but cannot be posted due to </w:t>
      </w:r>
      <w:r w:rsidR="00983F32">
        <w:t xml:space="preserve">the </w:t>
      </w:r>
      <w:r w:rsidR="00836A06">
        <w:t>confidentiality of proprietary information</w:t>
      </w:r>
      <w:r w:rsidR="00CD166B">
        <w:t xml:space="preserve"> </w:t>
      </w:r>
      <w:r w:rsidR="00836A06">
        <w:t xml:space="preserve">asserted </w:t>
      </w:r>
      <w:r w:rsidR="00CD166B">
        <w:t xml:space="preserve">by the managers. </w:t>
      </w:r>
    </w:p>
    <w:p w:rsidR="00411646" w:rsidRDefault="00411646"/>
    <w:p w:rsidR="00411646" w:rsidRDefault="00411646">
      <w:r>
        <w:t xml:space="preserve">In response to a question from </w:t>
      </w:r>
      <w:r w:rsidR="00105D6B">
        <w:t>Senator</w:t>
      </w:r>
      <w:r>
        <w:t xml:space="preserve"> Bowen, Mr. Barnes stated that he has not had any inquiries regarding the </w:t>
      </w:r>
      <w:r w:rsidR="000906B5">
        <w:t>confidentiality</w:t>
      </w:r>
      <w:r>
        <w:t xml:space="preserve"> </w:t>
      </w:r>
      <w:r w:rsidR="000906B5">
        <w:t xml:space="preserve">of </w:t>
      </w:r>
      <w:r w:rsidRPr="00AA21C8">
        <w:t>contracts.</w:t>
      </w:r>
    </w:p>
    <w:p w:rsidR="00411646" w:rsidRDefault="00411646"/>
    <w:p w:rsidR="00411646" w:rsidRDefault="00411646">
      <w:r>
        <w:t xml:space="preserve">Mr. Barnes </w:t>
      </w:r>
      <w:r w:rsidR="002A5A53">
        <w:t xml:space="preserve">said </w:t>
      </w:r>
      <w:r>
        <w:t xml:space="preserve">that TRS </w:t>
      </w:r>
      <w:r w:rsidR="00EF6D62">
        <w:t>uses</w:t>
      </w:r>
      <w:r>
        <w:t xml:space="preserve"> </w:t>
      </w:r>
      <w:r w:rsidR="00105D6B">
        <w:t>an</w:t>
      </w:r>
      <w:r>
        <w:t xml:space="preserve"> external service provider conflict of interest statement that basically requires all vendors to sign that they recognize their responsibility to TRS, will conduct </w:t>
      </w:r>
      <w:r w:rsidR="00EF6D62">
        <w:t>all business</w:t>
      </w:r>
      <w:r>
        <w:t xml:space="preserve"> in an ethical manner, will </w:t>
      </w:r>
      <w:r w:rsidR="00EF6D62">
        <w:t>a</w:t>
      </w:r>
      <w:r>
        <w:t xml:space="preserve">void </w:t>
      </w:r>
      <w:r w:rsidR="00EF6D62">
        <w:t xml:space="preserve">any </w:t>
      </w:r>
      <w:r>
        <w:t xml:space="preserve">conflict of interest, and will adhere not only to the </w:t>
      </w:r>
      <w:r w:rsidR="00EF6D62">
        <w:t>E</w:t>
      </w:r>
      <w:r>
        <w:t xml:space="preserve">xecutive </w:t>
      </w:r>
      <w:r w:rsidR="00EF6D62">
        <w:t>B</w:t>
      </w:r>
      <w:r>
        <w:t xml:space="preserve">ranch </w:t>
      </w:r>
      <w:r w:rsidR="00EF6D62">
        <w:t>E</w:t>
      </w:r>
      <w:r>
        <w:t>thics law, but will also adhere to the applicable provisions of KRS 161.430.</w:t>
      </w:r>
    </w:p>
    <w:p w:rsidR="00B254A7" w:rsidRDefault="00B254A7"/>
    <w:p w:rsidR="00B254A7" w:rsidRDefault="00B254A7">
      <w:r>
        <w:t xml:space="preserve">In response to a </w:t>
      </w:r>
      <w:r w:rsidR="006B010A">
        <w:t xml:space="preserve">couple of </w:t>
      </w:r>
      <w:r>
        <w:t>question</w:t>
      </w:r>
      <w:r w:rsidR="006B010A">
        <w:t>s</w:t>
      </w:r>
      <w:r>
        <w:t xml:space="preserve"> from Representative Johnson, Mr. Barnes </w:t>
      </w:r>
      <w:r w:rsidR="006B010A">
        <w:t>highlighted the amount of due diligence conducted by TRS and AON Hewitt prior to ever doing business with a manager</w:t>
      </w:r>
      <w:r w:rsidR="00A41B54">
        <w:t xml:space="preserve">. </w:t>
      </w:r>
      <w:r w:rsidR="00534943">
        <w:t xml:space="preserve">TRS with AON Hewitt conducts </w:t>
      </w:r>
      <w:r w:rsidR="00A41B54">
        <w:t>a lot</w:t>
      </w:r>
      <w:r w:rsidR="00534943">
        <w:t xml:space="preserve"> of due diligence and a thorough</w:t>
      </w:r>
      <w:r w:rsidR="006B010A">
        <w:t xml:space="preserve"> review of both the firm and individuals working</w:t>
      </w:r>
      <w:r w:rsidR="00534943">
        <w:t xml:space="preserve"> for it</w:t>
      </w:r>
      <w:r w:rsidR="00A41B54">
        <w:t xml:space="preserve">. </w:t>
      </w:r>
      <w:r w:rsidR="006B010A">
        <w:t>As for enforcement, t</w:t>
      </w:r>
      <w:r w:rsidR="00D442F7">
        <w:t>he SEC would provide compliance enforcement and assessment of penalties.</w:t>
      </w:r>
    </w:p>
    <w:p w:rsidR="00D442F7" w:rsidRDefault="00D442F7"/>
    <w:p w:rsidR="006B010A" w:rsidRDefault="006577E3">
      <w:r w:rsidRPr="006E72D4">
        <w:t xml:space="preserve">In response to </w:t>
      </w:r>
      <w:r w:rsidR="00D442F7" w:rsidRPr="006E72D4">
        <w:t>question</w:t>
      </w:r>
      <w:r w:rsidRPr="006E72D4">
        <w:t>s</w:t>
      </w:r>
      <w:r w:rsidR="00D442F7" w:rsidRPr="006E72D4">
        <w:t xml:space="preserve"> from Senator Bowen</w:t>
      </w:r>
      <w:r w:rsidR="006B010A" w:rsidRPr="006E72D4">
        <w:t xml:space="preserve"> regarding existing managers </w:t>
      </w:r>
      <w:r w:rsidR="008C2238" w:rsidRPr="006E72D4">
        <w:t>with whom TRS reinvests prospectively</w:t>
      </w:r>
      <w:r w:rsidR="00D442F7" w:rsidRPr="006E72D4">
        <w:t xml:space="preserve">, Mr. Barnes </w:t>
      </w:r>
      <w:r w:rsidR="004F197B" w:rsidRPr="006E72D4">
        <w:t xml:space="preserve">stated that TRS is </w:t>
      </w:r>
      <w:r w:rsidR="006B010A" w:rsidRPr="006E72D4">
        <w:t xml:space="preserve">going to </w:t>
      </w:r>
      <w:r w:rsidR="004F197B" w:rsidRPr="006E72D4">
        <w:t>requir</w:t>
      </w:r>
      <w:r w:rsidR="006B010A" w:rsidRPr="006E72D4">
        <w:t>e</w:t>
      </w:r>
      <w:r w:rsidR="004F197B" w:rsidRPr="006E72D4">
        <w:t xml:space="preserve"> every manager to comply</w:t>
      </w:r>
      <w:r w:rsidR="006B010A" w:rsidRPr="006E72D4">
        <w:t xml:space="preserve"> with SB</w:t>
      </w:r>
      <w:r w:rsidR="008C2238" w:rsidRPr="006E72D4">
        <w:t xml:space="preserve"> </w:t>
      </w:r>
      <w:r w:rsidR="006B010A" w:rsidRPr="006E72D4">
        <w:t>2 requirements, but indicated that with each of their private equity relationships the managers were going to assert the confidentiality exemption and this would limit TRS from posting contracts</w:t>
      </w:r>
      <w:r w:rsidR="00A41B54">
        <w:t xml:space="preserve">. </w:t>
      </w:r>
      <w:r w:rsidR="002E74C3">
        <w:t>A</w:t>
      </w:r>
      <w:r w:rsidR="006B010A" w:rsidRPr="006E72D4">
        <w:t xml:space="preserve">ll TRS contracts are available to the </w:t>
      </w:r>
      <w:r w:rsidR="00A41B54">
        <w:t>Public Pension Oversight Board (</w:t>
      </w:r>
      <w:r w:rsidR="006B010A" w:rsidRPr="006E72D4">
        <w:t>PPOB</w:t>
      </w:r>
      <w:r w:rsidR="00A41B54">
        <w:t>)</w:t>
      </w:r>
      <w:r w:rsidR="006B010A" w:rsidRPr="006E72D4">
        <w:t>, the Auditor, or any other elected officials</w:t>
      </w:r>
      <w:r w:rsidR="00A41B54">
        <w:t xml:space="preserve">. </w:t>
      </w:r>
      <w:r w:rsidR="006B010A" w:rsidRPr="006E72D4">
        <w:t>TRS would still fall within compliance of SB</w:t>
      </w:r>
      <w:r w:rsidR="008C2238" w:rsidRPr="006E72D4">
        <w:t xml:space="preserve"> </w:t>
      </w:r>
      <w:r w:rsidR="006B010A" w:rsidRPr="006E72D4">
        <w:t xml:space="preserve">2 even though the contracts were not disclosed given </w:t>
      </w:r>
      <w:r w:rsidR="004B4676" w:rsidRPr="006E72D4">
        <w:t xml:space="preserve">that </w:t>
      </w:r>
      <w:r w:rsidR="006B010A" w:rsidRPr="006E72D4">
        <w:t xml:space="preserve">an appropriate </w:t>
      </w:r>
      <w:r w:rsidR="004B4676" w:rsidRPr="006E72D4">
        <w:t xml:space="preserve">statutory </w:t>
      </w:r>
      <w:r w:rsidR="006B010A" w:rsidRPr="006E72D4">
        <w:t>exemption was being exercised.</w:t>
      </w:r>
    </w:p>
    <w:p w:rsidR="006B010A" w:rsidRDefault="006B010A"/>
    <w:p w:rsidR="006B010A" w:rsidRDefault="006B010A">
      <w:r w:rsidRPr="006E72D4">
        <w:t xml:space="preserve">In response to a question from Senator Bowen with regards to reporting carried interest, </w:t>
      </w:r>
      <w:r w:rsidR="006577E3" w:rsidRPr="006E72D4">
        <w:t xml:space="preserve">Mr. Barnes </w:t>
      </w:r>
      <w:r w:rsidRPr="006E72D4">
        <w:t xml:space="preserve">indicated that TRS asked each of </w:t>
      </w:r>
      <w:r w:rsidR="002E74C3">
        <w:t>the</w:t>
      </w:r>
      <w:r w:rsidRPr="006E72D4">
        <w:t xml:space="preserve"> managers if carried interest could be reported and were told that TRS cannot report carried interest.</w:t>
      </w:r>
      <w:r w:rsidR="0020209C">
        <w:t xml:space="preserve"> Mr. Barnes and Mr. Ke</w:t>
      </w:r>
      <w:r w:rsidR="009A543B" w:rsidRPr="006E72D4">
        <w:t xml:space="preserve">lly outlined what carried interest was and how reporting </w:t>
      </w:r>
      <w:r w:rsidR="008C2238" w:rsidRPr="006E72D4">
        <w:t xml:space="preserve">it </w:t>
      </w:r>
      <w:r w:rsidR="009A543B" w:rsidRPr="006E72D4">
        <w:t xml:space="preserve">as a fee can be misleading given it is </w:t>
      </w:r>
      <w:r w:rsidR="008C2238" w:rsidRPr="006E72D4">
        <w:t xml:space="preserve">really </w:t>
      </w:r>
      <w:r w:rsidR="009A543B" w:rsidRPr="006E72D4">
        <w:t>a sharing of profits.</w:t>
      </w:r>
    </w:p>
    <w:p w:rsidR="002F25B5" w:rsidRDefault="002F25B5"/>
    <w:p w:rsidR="006B010A" w:rsidRDefault="002F25B5">
      <w:r w:rsidRPr="006E72D4">
        <w:t xml:space="preserve">Senator Bowen </w:t>
      </w:r>
      <w:r w:rsidR="002E74C3">
        <w:t xml:space="preserve">said </w:t>
      </w:r>
      <w:r w:rsidRPr="006E72D4">
        <w:t xml:space="preserve">that, regardless of the reasons, TRS was not reporting carried interest. </w:t>
      </w:r>
      <w:r w:rsidR="002E74C3">
        <w:t>R</w:t>
      </w:r>
      <w:r w:rsidRPr="006E72D4">
        <w:t xml:space="preserve">eporting of carried interest is </w:t>
      </w:r>
      <w:r w:rsidR="002E74C3">
        <w:t>important</w:t>
      </w:r>
      <w:r w:rsidRPr="006E72D4">
        <w:t xml:space="preserve"> for PPOB</w:t>
      </w:r>
      <w:r w:rsidR="002E74C3">
        <w:t>, which</w:t>
      </w:r>
      <w:r w:rsidRPr="006E72D4">
        <w:t xml:space="preserve"> </w:t>
      </w:r>
      <w:r w:rsidR="002E74C3">
        <w:t xml:space="preserve">may </w:t>
      </w:r>
      <w:r w:rsidRPr="006E72D4">
        <w:t>explore this issue further</w:t>
      </w:r>
      <w:r w:rsidR="00A41B54">
        <w:t xml:space="preserve">. </w:t>
      </w:r>
    </w:p>
    <w:p w:rsidR="002F25B5" w:rsidRDefault="002F25B5"/>
    <w:p w:rsidR="00DA137D" w:rsidRDefault="00DA137D">
      <w:r>
        <w:t>M</w:t>
      </w:r>
      <w:r w:rsidR="0012677E">
        <w:t xml:space="preserve">r. Barnes </w:t>
      </w:r>
      <w:r w:rsidR="009A543B">
        <w:t xml:space="preserve">reviewed </w:t>
      </w:r>
      <w:r w:rsidR="0012677E">
        <w:t xml:space="preserve">cash flows </w:t>
      </w:r>
      <w:r w:rsidR="009A543B">
        <w:t xml:space="preserve">for the fiscal year </w:t>
      </w:r>
      <w:r w:rsidR="0012677E">
        <w:t xml:space="preserve">and </w:t>
      </w:r>
      <w:r w:rsidR="009A543B">
        <w:t xml:space="preserve">noted </w:t>
      </w:r>
      <w:r w:rsidR="0012677E">
        <w:t>that t</w:t>
      </w:r>
      <w:r>
        <w:t>otal cash inflows for FY 2018 we</w:t>
      </w:r>
      <w:r w:rsidR="0012677E">
        <w:t>re $1.731 billion and total out</w:t>
      </w:r>
      <w:r>
        <w:t xml:space="preserve">flows were $2.047 billion. The </w:t>
      </w:r>
      <w:r w:rsidR="009A543B">
        <w:t>n</w:t>
      </w:r>
      <w:r>
        <w:t>et cash fl</w:t>
      </w:r>
      <w:r w:rsidR="009A543B">
        <w:t xml:space="preserve">ow before asset gain/losses was a negative </w:t>
      </w:r>
      <w:r>
        <w:t>$315 million</w:t>
      </w:r>
      <w:r w:rsidR="009A543B">
        <w:t xml:space="preserve">, </w:t>
      </w:r>
      <w:r>
        <w:t>with investment gains total</w:t>
      </w:r>
      <w:r w:rsidR="009A543B">
        <w:t>ing</w:t>
      </w:r>
      <w:r>
        <w:t xml:space="preserve"> </w:t>
      </w:r>
      <w:r w:rsidR="006B7327">
        <w:t>$1.310 billion</w:t>
      </w:r>
      <w:r>
        <w:t>. The total</w:t>
      </w:r>
      <w:r w:rsidR="009A543B">
        <w:t xml:space="preserve"> pension fund </w:t>
      </w:r>
      <w:r>
        <w:t>increase</w:t>
      </w:r>
      <w:r w:rsidR="009A543B">
        <w:t>d</w:t>
      </w:r>
      <w:r>
        <w:t xml:space="preserve"> from $18.5 billion in FY</w:t>
      </w:r>
      <w:r w:rsidR="00581AC1">
        <w:t xml:space="preserve"> 20</w:t>
      </w:r>
      <w:r>
        <w:t>17 to $19.8 billion in FY</w:t>
      </w:r>
      <w:r w:rsidR="00581AC1">
        <w:t xml:space="preserve"> 20</w:t>
      </w:r>
      <w:r>
        <w:t>18</w:t>
      </w:r>
      <w:r w:rsidR="00A41B54">
        <w:t xml:space="preserve">. </w:t>
      </w:r>
      <w:r w:rsidR="009A543B">
        <w:t>TRS ha</w:t>
      </w:r>
      <w:r w:rsidR="002E74C3">
        <w:t>s</w:t>
      </w:r>
      <w:r w:rsidR="009A543B">
        <w:t xml:space="preserve"> reached </w:t>
      </w:r>
      <w:r w:rsidR="00581AC1">
        <w:t>a record level of assets</w:t>
      </w:r>
      <w:r w:rsidR="009A543B">
        <w:t xml:space="preserve"> with about </w:t>
      </w:r>
      <w:r w:rsidR="00E173BD">
        <w:t xml:space="preserve">$21 billion </w:t>
      </w:r>
      <w:r>
        <w:t>in assets in pension, health, and life insurance trusts.</w:t>
      </w:r>
    </w:p>
    <w:p w:rsidR="00DA137D" w:rsidRDefault="00DA137D"/>
    <w:p w:rsidR="00C61B95" w:rsidRDefault="009A543B">
      <w:r>
        <w:t xml:space="preserve">Mr. Barnes discussed </w:t>
      </w:r>
      <w:r w:rsidR="00DA137D">
        <w:t>investment performance</w:t>
      </w:r>
      <w:r>
        <w:t xml:space="preserve"> and noted T</w:t>
      </w:r>
      <w:r w:rsidR="00190B76">
        <w:t>RS’s fiscal year return of 10.5 percent</w:t>
      </w:r>
      <w:r>
        <w:t xml:space="preserve"> ranked in the top 2 percent when compared to other </w:t>
      </w:r>
      <w:r w:rsidR="00DA137D">
        <w:t>pension plans with $1 billion or more in assets</w:t>
      </w:r>
      <w:r w:rsidR="00A41B54">
        <w:t xml:space="preserve">. </w:t>
      </w:r>
      <w:r>
        <w:t>Mr. Barnes reviewed trailing performance and highlighted TRS’ performance ranked in top 10 percent of peers across all time periods</w:t>
      </w:r>
      <w:r w:rsidR="00A41B54">
        <w:t xml:space="preserve">. </w:t>
      </w:r>
      <w:r w:rsidR="00DA137D">
        <w:t>The 30-year compounded gross return is at 8.39 percent</w:t>
      </w:r>
      <w:r w:rsidR="00A41B54">
        <w:t xml:space="preserve">. </w:t>
      </w:r>
      <w:r w:rsidR="008877AF">
        <w:t>Mr. Barnes provided a review of returns r</w:t>
      </w:r>
      <w:r w:rsidR="00190B76">
        <w:t>elative to a peer group from</w:t>
      </w:r>
      <w:r w:rsidR="008877AF">
        <w:t xml:space="preserve"> Callan Associates and reviewed trailing performance </w:t>
      </w:r>
      <w:r w:rsidR="007C6603">
        <w:t xml:space="preserve">for periods ended June 30, 2018. For the 30-year, TRS had </w:t>
      </w:r>
      <w:r w:rsidR="008877AF">
        <w:t>a</w:t>
      </w:r>
      <w:r w:rsidR="007C6603">
        <w:t xml:space="preserve"> rate of return of 8.4 percent compared to the</w:t>
      </w:r>
      <w:r w:rsidR="008877AF">
        <w:t xml:space="preserve"> median return of</w:t>
      </w:r>
      <w:r w:rsidR="007C6603">
        <w:t xml:space="preserve"> 8.6 percent</w:t>
      </w:r>
      <w:r w:rsidR="00A41B54">
        <w:t xml:space="preserve">. </w:t>
      </w:r>
      <w:r w:rsidR="008877AF">
        <w:t>Over the 1</w:t>
      </w:r>
      <w:r w:rsidR="007C6603">
        <w:t>-year</w:t>
      </w:r>
      <w:r w:rsidR="008877AF">
        <w:t>,</w:t>
      </w:r>
      <w:r w:rsidR="007C6603">
        <w:t xml:space="preserve"> TRS </w:t>
      </w:r>
      <w:r w:rsidR="008877AF">
        <w:t xml:space="preserve">returned </w:t>
      </w:r>
      <w:r w:rsidR="00FC1F40">
        <w:t>10.8 percent</w:t>
      </w:r>
      <w:r w:rsidR="00190B76">
        <w:t xml:space="preserve"> compared to median return of</w:t>
      </w:r>
      <w:r w:rsidR="008877AF">
        <w:t xml:space="preserve"> 8.2 percent of the peer group.</w:t>
      </w:r>
    </w:p>
    <w:p w:rsidR="007C6603" w:rsidRDefault="007C6603"/>
    <w:p w:rsidR="007C6603" w:rsidRDefault="003905E3">
      <w:r>
        <w:t>Mr. Barnes</w:t>
      </w:r>
      <w:r w:rsidR="008877AF">
        <w:t xml:space="preserve"> reviewed </w:t>
      </w:r>
      <w:r>
        <w:t>TRS’ approach</w:t>
      </w:r>
      <w:r w:rsidR="008877AF">
        <w:t xml:space="preserve"> to investments</w:t>
      </w:r>
      <w:r w:rsidR="00967AB5">
        <w:t>. He</w:t>
      </w:r>
      <w:r>
        <w:t xml:space="preserve"> stated that TRS never has used placement agents, </w:t>
      </w:r>
      <w:r w:rsidR="008877AF">
        <w:t xml:space="preserve">does not invest in </w:t>
      </w:r>
      <w:r>
        <w:t xml:space="preserve">hedge funds, </w:t>
      </w:r>
      <w:r w:rsidR="008877AF">
        <w:t xml:space="preserve">and </w:t>
      </w:r>
      <w:r>
        <w:t>discloses annual fees in their annual report and quarterly on their website</w:t>
      </w:r>
      <w:r w:rsidR="00F768ED">
        <w:t xml:space="preserve">. </w:t>
      </w:r>
      <w:r w:rsidR="008877AF">
        <w:t xml:space="preserve">Lastly, </w:t>
      </w:r>
      <w:r>
        <w:t xml:space="preserve">TRS </w:t>
      </w:r>
      <w:r w:rsidR="00967AB5">
        <w:t>adheres to its</w:t>
      </w:r>
      <w:r w:rsidR="008877AF">
        <w:t xml:space="preserve"> </w:t>
      </w:r>
      <w:r>
        <w:t xml:space="preserve">fiduciary duty in </w:t>
      </w:r>
      <w:r w:rsidR="00967AB5">
        <w:t xml:space="preserve">the </w:t>
      </w:r>
      <w:r>
        <w:t>procurement of investments.</w:t>
      </w:r>
    </w:p>
    <w:p w:rsidR="003905E3" w:rsidRDefault="003905E3"/>
    <w:p w:rsidR="003905E3" w:rsidRDefault="003905E3">
      <w:r>
        <w:t xml:space="preserve">Mr. Barnes </w:t>
      </w:r>
      <w:r w:rsidR="00835EE8">
        <w:t xml:space="preserve">reviewed </w:t>
      </w:r>
      <w:r>
        <w:t>private equity</w:t>
      </w:r>
      <w:r w:rsidR="00835EE8">
        <w:t xml:space="preserve"> and noted managers are regulated by the SEC</w:t>
      </w:r>
      <w:r w:rsidR="00A41B54">
        <w:t xml:space="preserve">. </w:t>
      </w:r>
      <w:r w:rsidR="00835EE8">
        <w:t xml:space="preserve">All </w:t>
      </w:r>
      <w:r w:rsidR="00E253FD">
        <w:t>TRS’ fees are disclosed on the annual report and quarterly on their website. Alternatives</w:t>
      </w:r>
      <w:r w:rsidR="00835EE8">
        <w:t xml:space="preserve"> account for </w:t>
      </w:r>
      <w:r w:rsidR="00E253FD">
        <w:t>less than 7 percent of the</w:t>
      </w:r>
      <w:r w:rsidR="00835EE8">
        <w:t xml:space="preserve"> TRS</w:t>
      </w:r>
      <w:r w:rsidR="00E253FD">
        <w:t xml:space="preserve"> portfolio and private equity is less than 5 percent</w:t>
      </w:r>
      <w:r w:rsidR="00835EE8">
        <w:t>.</w:t>
      </w:r>
      <w:r w:rsidR="00E253FD">
        <w:t xml:space="preserve"> </w:t>
      </w:r>
      <w:r w:rsidR="00835EE8">
        <w:t xml:space="preserve">Mr. Barnes provided returns for the asset class over the past seven years and highlighted that the private equity portfolio </w:t>
      </w:r>
      <w:r w:rsidR="00E253FD">
        <w:t>has provided some of the best re</w:t>
      </w:r>
      <w:r w:rsidR="00835EE8">
        <w:t>turns.</w:t>
      </w:r>
    </w:p>
    <w:p w:rsidR="00E253FD" w:rsidRDefault="00E253FD"/>
    <w:p w:rsidR="00E253FD" w:rsidRDefault="001F4B0D">
      <w:r>
        <w:t xml:space="preserve">Mr. Barnes discussed the basic actuarial assumptions and stated that the assumed investment rate of return is 7.5 percent with the projected wage (teacher salaries) increase at 3.5 percent. </w:t>
      </w:r>
      <w:r w:rsidR="002E74C3">
        <w:t>A</w:t>
      </w:r>
      <w:r>
        <w:t>ssumptions are long-term estimates</w:t>
      </w:r>
      <w:r w:rsidR="00835EE8">
        <w:t>,</w:t>
      </w:r>
      <w:r>
        <w:t xml:space="preserve"> so short-term fluctuations are expected. Ongoing analysis of assumptions includes peer system comparison, long-term historical information, modeling using market assumptions, and recent experience</w:t>
      </w:r>
      <w:r w:rsidR="00A41B54">
        <w:t xml:space="preserve">. </w:t>
      </w:r>
      <w:r w:rsidR="003409E7">
        <w:t xml:space="preserve">Mr. Barnes </w:t>
      </w:r>
      <w:r w:rsidR="00835EE8">
        <w:t xml:space="preserve">noted that </w:t>
      </w:r>
      <w:r w:rsidR="003409E7">
        <w:t xml:space="preserve">TRS had a full actuarial audit </w:t>
      </w:r>
      <w:r w:rsidR="00835EE8">
        <w:t xml:space="preserve">in 2015 </w:t>
      </w:r>
      <w:r w:rsidR="003409E7">
        <w:t xml:space="preserve">and </w:t>
      </w:r>
      <w:r w:rsidR="00835EE8">
        <w:t>e</w:t>
      </w:r>
      <w:r w:rsidR="003409E7">
        <w:t>x</w:t>
      </w:r>
      <w:r w:rsidR="004677C0">
        <w:t xml:space="preserve">perience </w:t>
      </w:r>
      <w:r w:rsidR="00835EE8">
        <w:t>s</w:t>
      </w:r>
      <w:r w:rsidR="003409E7">
        <w:t>tudy</w:t>
      </w:r>
      <w:r w:rsidR="00835EE8">
        <w:t xml:space="preserve"> in 2016, which </w:t>
      </w:r>
      <w:r w:rsidR="003409E7">
        <w:t xml:space="preserve">both supported </w:t>
      </w:r>
      <w:r w:rsidR="00835EE8">
        <w:t xml:space="preserve">a </w:t>
      </w:r>
      <w:r w:rsidR="003409E7">
        <w:t>7.5 percent assumed rate.</w:t>
      </w:r>
      <w:r w:rsidR="004677C0">
        <w:t xml:space="preserve"> Changes made from the 2016 </w:t>
      </w:r>
      <w:r w:rsidR="00835EE8">
        <w:t>e</w:t>
      </w:r>
      <w:r w:rsidR="004677C0">
        <w:t xml:space="preserve">xperience </w:t>
      </w:r>
      <w:r w:rsidR="00835EE8">
        <w:t>s</w:t>
      </w:r>
      <w:r w:rsidR="004677C0">
        <w:t xml:space="preserve">tudy </w:t>
      </w:r>
      <w:r w:rsidR="00835EE8">
        <w:t xml:space="preserve">included the </w:t>
      </w:r>
      <w:r w:rsidR="004677C0">
        <w:t>price inflation</w:t>
      </w:r>
      <w:r w:rsidR="00835EE8">
        <w:t xml:space="preserve"> assumption, </w:t>
      </w:r>
      <w:r w:rsidR="004677C0">
        <w:t>lowered from 3.5 to 3 percent</w:t>
      </w:r>
      <w:r w:rsidR="00835EE8">
        <w:t>,</w:t>
      </w:r>
      <w:r w:rsidR="004677C0">
        <w:t xml:space="preserve"> and wage inflation (teacher’s salaries)</w:t>
      </w:r>
      <w:r w:rsidR="00835EE8">
        <w:t>, which was</w:t>
      </w:r>
      <w:r w:rsidR="004677C0">
        <w:t xml:space="preserve"> lowered from 4 to 3.5 percent.</w:t>
      </w:r>
    </w:p>
    <w:p w:rsidR="004677C0" w:rsidRDefault="004677C0"/>
    <w:p w:rsidR="00835EE8" w:rsidRDefault="00835EE8">
      <w:r>
        <w:t>In response to a question from Representative Miller, Mr. Barnes indicated that looking back historically, prior to 2008, TRS was experiencing a payroll growth rate above assumptions, while more recently it has been below</w:t>
      </w:r>
      <w:r w:rsidR="00A41B54">
        <w:t xml:space="preserve">. </w:t>
      </w:r>
      <w:r w:rsidR="002E74C3">
        <w:t>P</w:t>
      </w:r>
      <w:r>
        <w:t xml:space="preserve">ayroll growth </w:t>
      </w:r>
      <w:r w:rsidR="002E74C3">
        <w:t>i</w:t>
      </w:r>
      <w:r>
        <w:t xml:space="preserve">s more stable in TRS than other plans like KERS because schools </w:t>
      </w:r>
      <w:r w:rsidR="00967AB5">
        <w:t>cannot</w:t>
      </w:r>
      <w:r>
        <w:t xml:space="preserve"> reduce </w:t>
      </w:r>
      <w:r w:rsidR="00967AB5">
        <w:t xml:space="preserve">the number of </w:t>
      </w:r>
      <w:r>
        <w:t>teachers and salaries have to grow</w:t>
      </w:r>
      <w:r w:rsidR="00A41B54">
        <w:t xml:space="preserve">. </w:t>
      </w:r>
      <w:r>
        <w:t xml:space="preserve">So over 30-year periods, TRS feels pretty comfortable with </w:t>
      </w:r>
      <w:r w:rsidR="00967AB5">
        <w:t xml:space="preserve">its </w:t>
      </w:r>
      <w:r>
        <w:t>current assumption.</w:t>
      </w:r>
    </w:p>
    <w:p w:rsidR="00835EE8" w:rsidRDefault="00835EE8"/>
    <w:p w:rsidR="00F5195D" w:rsidRDefault="00F5195D">
      <w:r>
        <w:t xml:space="preserve">Mr. Barnes </w:t>
      </w:r>
      <w:r w:rsidR="00801097">
        <w:t xml:space="preserve">provided a review of </w:t>
      </w:r>
      <w:r w:rsidR="00F77B31">
        <w:t>historical market returns</w:t>
      </w:r>
      <w:r w:rsidR="00801097">
        <w:t xml:space="preserve">, using rolling 30-year </w:t>
      </w:r>
      <w:r w:rsidR="00F77B31">
        <w:t>period</w:t>
      </w:r>
      <w:r w:rsidR="00801097">
        <w:t>s</w:t>
      </w:r>
      <w:r w:rsidR="00F77B31">
        <w:t xml:space="preserve"> beginning </w:t>
      </w:r>
      <w:r w:rsidR="00801097">
        <w:t xml:space="preserve">covering </w:t>
      </w:r>
      <w:r w:rsidR="00F77B31">
        <w:t>1926 to 1955 and</w:t>
      </w:r>
      <w:r w:rsidR="00801097">
        <w:t xml:space="preserve"> </w:t>
      </w:r>
      <w:r w:rsidR="00F77B31">
        <w:t xml:space="preserve">1988 to 2017. The S&amp;P 500 Index average return was 11.2 percent, minimum return was 8.5 percent, and the maximum return was 13.7 percent. </w:t>
      </w:r>
      <w:r w:rsidR="002B0B34">
        <w:t>For t</w:t>
      </w:r>
      <w:r w:rsidR="00F77B31">
        <w:t>he 60 percent S&amp;P/40 percent corporate bonds</w:t>
      </w:r>
      <w:r w:rsidR="00967AB5">
        <w:t>,</w:t>
      </w:r>
      <w:r w:rsidR="00F77B31">
        <w:t xml:space="preserve"> the average return was 9.1 percent, the minimum return was 6.6 percent, and the maximum return was 12.1 percent. The historical </w:t>
      </w:r>
      <w:r w:rsidR="00967AB5">
        <w:t>price inflation for the same 30-</w:t>
      </w:r>
      <w:r w:rsidR="00F77B31">
        <w:t>year period showed the average rate was 3.8 percent, the minimum rate was 1.4 percent (1926-1955), and the maximum rate was 5.4 percent.</w:t>
      </w:r>
    </w:p>
    <w:p w:rsidR="00667452" w:rsidRDefault="00667452"/>
    <w:p w:rsidR="00801097" w:rsidRDefault="00667452">
      <w:r>
        <w:t xml:space="preserve">Mr. Barnes </w:t>
      </w:r>
      <w:r w:rsidR="00801097">
        <w:t xml:space="preserve">reviewed TRS’ current projected return using capital market assumptions and from a </w:t>
      </w:r>
      <w:r w:rsidR="00967AB5">
        <w:t>survey</w:t>
      </w:r>
      <w:r w:rsidR="00801097">
        <w:t xml:space="preserve"> of 36 large investment consultants conducted by </w:t>
      </w:r>
      <w:r>
        <w:t>Horizon</w:t>
      </w:r>
      <w:r w:rsidR="00883BAB">
        <w:t xml:space="preserve"> in 2017</w:t>
      </w:r>
      <w:r w:rsidR="00A41B54">
        <w:t xml:space="preserve">. </w:t>
      </w:r>
      <w:r w:rsidR="00883BAB">
        <w:t>Mr. Kell</w:t>
      </w:r>
      <w:r w:rsidR="00801097">
        <w:t>y reviewed TRS’ current asset allocation and when the Horizon Survey assumptions were applied, the expected return of the TRS portfolio is 7.7 percent, which is slightly above the 7.5 percent assumption of TRS.</w:t>
      </w:r>
    </w:p>
    <w:p w:rsidR="00801097" w:rsidRDefault="00801097"/>
    <w:p w:rsidR="00801097" w:rsidRDefault="00672676">
      <w:r w:rsidRPr="00AC0155">
        <w:t>In response to</w:t>
      </w:r>
      <w:r w:rsidR="00F605F6" w:rsidRPr="00AC0155">
        <w:t xml:space="preserve"> question</w:t>
      </w:r>
      <w:r w:rsidRPr="00AC0155">
        <w:t>s</w:t>
      </w:r>
      <w:r w:rsidR="00F605F6" w:rsidRPr="00AC0155">
        <w:t xml:space="preserve"> from Mr. Jefferson</w:t>
      </w:r>
      <w:r w:rsidR="00801097" w:rsidRPr="00AC0155">
        <w:t xml:space="preserve"> regarding AON’s use of actuarial data and scenario testing</w:t>
      </w:r>
      <w:r w:rsidR="00F605F6" w:rsidRPr="00AC0155">
        <w:t xml:space="preserve">, Mr. Kelly </w:t>
      </w:r>
      <w:r w:rsidR="00801097" w:rsidRPr="00AC0155">
        <w:t xml:space="preserve">referenced an </w:t>
      </w:r>
      <w:r w:rsidRPr="00AC0155">
        <w:t xml:space="preserve">Asset Liability Study </w:t>
      </w:r>
      <w:r w:rsidR="00801097" w:rsidRPr="00AC0155">
        <w:t>that AON conducts periodically</w:t>
      </w:r>
      <w:r w:rsidR="00A41B54">
        <w:t xml:space="preserve">. </w:t>
      </w:r>
      <w:r w:rsidR="00801097" w:rsidRPr="00AC0155">
        <w:t>The study incorporate</w:t>
      </w:r>
      <w:r w:rsidR="00967AB5" w:rsidRPr="00AC0155">
        <w:t>d</w:t>
      </w:r>
      <w:r w:rsidR="00E22AA1" w:rsidRPr="00AC0155">
        <w:t xml:space="preserve"> all the assumptions and the projected cash flows, both in and out of the portfolio, used by the </w:t>
      </w:r>
      <w:r w:rsidR="00967AB5" w:rsidRPr="00AC0155">
        <w:t>actuary</w:t>
      </w:r>
      <w:r w:rsidR="00E22AA1" w:rsidRPr="00AC0155">
        <w:t xml:space="preserve"> </w:t>
      </w:r>
      <w:r w:rsidR="00801097" w:rsidRPr="00AC0155">
        <w:t>and models all types of good and bad scenarios for the portfolio</w:t>
      </w:r>
      <w:r w:rsidR="00E22AA1" w:rsidRPr="00AC0155">
        <w:t xml:space="preserve"> based on that information</w:t>
      </w:r>
      <w:r w:rsidR="00A41B54">
        <w:t xml:space="preserve">. </w:t>
      </w:r>
      <w:r w:rsidR="00801097" w:rsidRPr="00AC0155">
        <w:t>AON tends to focus on the bad scenarios</w:t>
      </w:r>
      <w:r w:rsidR="00E22AA1" w:rsidRPr="00AC0155">
        <w:t xml:space="preserve"> and tries to build a portfolio that can have reasonable probability of meeting assumption</w:t>
      </w:r>
      <w:r w:rsidR="00967AB5" w:rsidRPr="00AC0155">
        <w:t>s</w:t>
      </w:r>
      <w:r w:rsidR="00A41B54">
        <w:t xml:space="preserve">. </w:t>
      </w:r>
      <w:r w:rsidR="002E74C3">
        <w:t xml:space="preserve">For </w:t>
      </w:r>
      <w:r w:rsidR="00E22AA1" w:rsidRPr="00AC0155">
        <w:t>returns not meeting assumptions, the m</w:t>
      </w:r>
      <w:r w:rsidR="00263758" w:rsidRPr="00AC0155">
        <w:t>echanisms</w:t>
      </w:r>
      <w:r w:rsidRPr="00AC0155">
        <w:t xml:space="preserve"> that balance</w:t>
      </w:r>
      <w:r w:rsidR="009D6066" w:rsidRPr="00AC0155">
        <w:t>s</w:t>
      </w:r>
      <w:r w:rsidRPr="00AC0155">
        <w:t xml:space="preserve"> those </w:t>
      </w:r>
      <w:r w:rsidR="00263758" w:rsidRPr="00AC0155">
        <w:t>scenarios</w:t>
      </w:r>
      <w:r w:rsidRPr="00AC0155">
        <w:t xml:space="preserve"> are </w:t>
      </w:r>
      <w:r w:rsidR="009D6066" w:rsidRPr="00AC0155">
        <w:t xml:space="preserve">the </w:t>
      </w:r>
      <w:r w:rsidRPr="00AC0155">
        <w:t>actuarial determined contribution</w:t>
      </w:r>
      <w:r w:rsidR="00A41B54">
        <w:t xml:space="preserve">. </w:t>
      </w:r>
      <w:r w:rsidR="009D6066" w:rsidRPr="00AC0155">
        <w:t>If returns are better than assumed, the contribution rate will decrease, and vic</w:t>
      </w:r>
      <w:r w:rsidR="00967AB5" w:rsidRPr="00AC0155">
        <w:t>e versa</w:t>
      </w:r>
      <w:r w:rsidR="00A41B54">
        <w:t xml:space="preserve">. </w:t>
      </w:r>
      <w:r w:rsidR="00967AB5" w:rsidRPr="00AC0155">
        <w:t>TRS’</w:t>
      </w:r>
      <w:r w:rsidR="009D6066" w:rsidRPr="00AC0155">
        <w:t xml:space="preserve"> current portfolio mix, based on AON’s market assumptions, which are more conservative that the Horizon study, has a 40 percent probability of reaching 7.5 percent</w:t>
      </w:r>
      <w:r w:rsidR="00A41B54">
        <w:t xml:space="preserve">. </w:t>
      </w:r>
    </w:p>
    <w:p w:rsidR="00801097" w:rsidRDefault="00801097"/>
    <w:p w:rsidR="00471B30" w:rsidRDefault="00471B30">
      <w:r>
        <w:t xml:space="preserve">Senator Bowen commented that the assumed rate of return is a critical factor. TRS </w:t>
      </w:r>
      <w:r w:rsidR="009D6066">
        <w:t>ha</w:t>
      </w:r>
      <w:r w:rsidR="002E74C3">
        <w:t>s</w:t>
      </w:r>
      <w:r w:rsidR="009D6066">
        <w:t xml:space="preserve"> </w:t>
      </w:r>
      <w:r>
        <w:t xml:space="preserve">made </w:t>
      </w:r>
      <w:r w:rsidR="002E74C3">
        <w:t>its</w:t>
      </w:r>
      <w:r w:rsidR="009D6066">
        <w:t xml:space="preserve"> case for utilizing a</w:t>
      </w:r>
      <w:r>
        <w:t xml:space="preserve"> 7.5 percent</w:t>
      </w:r>
      <w:r w:rsidR="002E74C3">
        <w:t xml:space="preserve">; </w:t>
      </w:r>
      <w:r w:rsidR="00A41B54">
        <w:t>PPOB</w:t>
      </w:r>
      <w:r w:rsidR="002E74C3">
        <w:t>’s</w:t>
      </w:r>
      <w:r>
        <w:t xml:space="preserve"> role is to question </w:t>
      </w:r>
      <w:r w:rsidR="009D6066">
        <w:t>and counter that argument</w:t>
      </w:r>
      <w:r>
        <w:t>.</w:t>
      </w:r>
      <w:r w:rsidR="003E27F7">
        <w:t xml:space="preserve"> </w:t>
      </w:r>
      <w:r w:rsidR="002E74C3">
        <w:t>P</w:t>
      </w:r>
      <w:r w:rsidR="003E27F7">
        <w:t xml:space="preserve">eople across the Commonwealth identify </w:t>
      </w:r>
      <w:r w:rsidR="00D83102">
        <w:t>with the percent of funding of each fund, which is not in the presentation</w:t>
      </w:r>
      <w:r w:rsidR="00F72AC2">
        <w:t>. H</w:t>
      </w:r>
      <w:r w:rsidR="00D83102">
        <w:t>e would like to see it in the quarterly updates.</w:t>
      </w:r>
    </w:p>
    <w:p w:rsidR="00D83102" w:rsidRDefault="00D83102"/>
    <w:p w:rsidR="00D83102" w:rsidRDefault="00D83102">
      <w:r>
        <w:t xml:space="preserve">Representative Kay </w:t>
      </w:r>
      <w:r w:rsidR="00F72AC2">
        <w:t>recommended</w:t>
      </w:r>
      <w:r>
        <w:t xml:space="preserve"> that PPOB have a representative from the SEC and CFA to </w:t>
      </w:r>
      <w:r w:rsidR="00F72AC2">
        <w:t xml:space="preserve">testify </w:t>
      </w:r>
      <w:r>
        <w:t xml:space="preserve">about their </w:t>
      </w:r>
      <w:r w:rsidR="00263758">
        <w:t>ethical</w:t>
      </w:r>
      <w:r>
        <w:t xml:space="preserve"> standards.</w:t>
      </w:r>
    </w:p>
    <w:p w:rsidR="00D83102" w:rsidRDefault="00D83102"/>
    <w:p w:rsidR="00D83102" w:rsidRDefault="00D83102">
      <w:r>
        <w:rPr>
          <w:b/>
        </w:rPr>
        <w:t>Investment and Cash Flow Quarterly Update – JFRS</w:t>
      </w:r>
    </w:p>
    <w:p w:rsidR="00D83102" w:rsidRDefault="00D83102">
      <w:r>
        <w:t>Ms. Early discussed the investment update and stated that the guidelines for both the judicial and legislators</w:t>
      </w:r>
      <w:r w:rsidR="003F04F5">
        <w:t>’ plans</w:t>
      </w:r>
      <w:r>
        <w:t xml:space="preserve"> are</w:t>
      </w:r>
      <w:r w:rsidR="003F04F5">
        <w:t xml:space="preserve"> a</w:t>
      </w:r>
      <w:r>
        <w:t xml:space="preserve"> 70/30 allocation, which is 70 percent equities and 30 percent fixed income with a 10 percent variance going either up or down for each</w:t>
      </w:r>
      <w:r w:rsidR="003F04F5">
        <w:t xml:space="preserve"> plan</w:t>
      </w:r>
      <w:r>
        <w:t>. The judicial defined benefit</w:t>
      </w:r>
      <w:r w:rsidR="00336001">
        <w:t xml:space="preserve"> plan</w:t>
      </w:r>
      <w:r w:rsidR="00C80174">
        <w:t>’</w:t>
      </w:r>
      <w:r w:rsidR="003F04F5">
        <w:t>s</w:t>
      </w:r>
      <w:r>
        <w:t xml:space="preserve"> </w:t>
      </w:r>
      <w:r w:rsidR="00336001">
        <w:t>total portfolio market value as of June 30, 2018</w:t>
      </w:r>
      <w:r w:rsidR="003F04F5">
        <w:t>,</w:t>
      </w:r>
      <w:r w:rsidR="00336001">
        <w:t xml:space="preserve"> was $396.5 million. The judicial hybrid cash balance plan</w:t>
      </w:r>
      <w:r w:rsidR="003F04F5">
        <w:t>’s</w:t>
      </w:r>
      <w:r w:rsidR="00336001">
        <w:t xml:space="preserve"> total portfolio market value as of June 30, 2018</w:t>
      </w:r>
      <w:r w:rsidR="003F04F5">
        <w:t>,</w:t>
      </w:r>
      <w:r w:rsidR="00336001">
        <w:t xml:space="preserve"> was $864,484. The legislators</w:t>
      </w:r>
      <w:r w:rsidR="003F04F5">
        <w:t>’ defined benefit plan’s</w:t>
      </w:r>
      <w:r w:rsidR="00336001">
        <w:t xml:space="preserve"> total portfolio market value was $117.6 million and the legislators</w:t>
      </w:r>
      <w:r w:rsidR="003F04F5">
        <w:t>’</w:t>
      </w:r>
      <w:r w:rsidR="00336001">
        <w:t xml:space="preserve"> hybrid cash balance plan</w:t>
      </w:r>
      <w:r w:rsidR="003F04F5">
        <w:t>’s</w:t>
      </w:r>
      <w:r w:rsidR="00336001">
        <w:t xml:space="preserve"> total portfolio market value was $239,190. </w:t>
      </w:r>
      <w:r w:rsidR="00F72AC2">
        <w:t>T</w:t>
      </w:r>
      <w:r w:rsidR="00C4500C">
        <w:t>he judicial defined benefit and the</w:t>
      </w:r>
      <w:r w:rsidR="00336001">
        <w:t xml:space="preserve"> legislators defined benefit plans fell a little short of meeting their benc</w:t>
      </w:r>
      <w:r w:rsidR="00C80174">
        <w:t>hmark</w:t>
      </w:r>
      <w:r w:rsidR="00F72AC2">
        <w:t>s</w:t>
      </w:r>
      <w:r w:rsidR="00336001">
        <w:t xml:space="preserve"> last year.</w:t>
      </w:r>
    </w:p>
    <w:p w:rsidR="00C4500C" w:rsidRDefault="00C4500C"/>
    <w:p w:rsidR="00C4500C" w:rsidRDefault="00C4500C">
      <w:r>
        <w:t>Ms. Early discussed the statement of changes in net position and stated that the judicial and legislators</w:t>
      </w:r>
      <w:r w:rsidR="003F04F5">
        <w:t>’</w:t>
      </w:r>
      <w:r>
        <w:t xml:space="preserve"> plans ended in a positive net plan assets.</w:t>
      </w:r>
    </w:p>
    <w:p w:rsidR="00C4500C" w:rsidRDefault="00C4500C"/>
    <w:p w:rsidR="00C4500C" w:rsidRDefault="009B5D52">
      <w:r>
        <w:t xml:space="preserve">Senator Bowen </w:t>
      </w:r>
      <w:r w:rsidR="00F72AC2">
        <w:t xml:space="preserve">said that </w:t>
      </w:r>
      <w:r>
        <w:t xml:space="preserve">he had been appointed to fill a vacancy on the Judicial Form Retirement System Board and </w:t>
      </w:r>
      <w:r w:rsidR="00F72AC2">
        <w:t xml:space="preserve">that </w:t>
      </w:r>
      <w:r>
        <w:t>he ha</w:t>
      </w:r>
      <w:r w:rsidR="00F72AC2">
        <w:t>d</w:t>
      </w:r>
      <w:r>
        <w:t xml:space="preserve"> accepted the appointment.</w:t>
      </w:r>
    </w:p>
    <w:p w:rsidR="00C00147" w:rsidRDefault="00C00147"/>
    <w:p w:rsidR="00C00147" w:rsidRPr="00D83102" w:rsidRDefault="00C00147">
      <w:r w:rsidRPr="00BE13F2">
        <w:t xml:space="preserve">With no further business, the meeting was adjourned. The next regularly scheduled meeting is Monday, </w:t>
      </w:r>
      <w:r>
        <w:t>September 24, 2018</w:t>
      </w:r>
      <w:r w:rsidRPr="00BE13F2">
        <w:t>.</w:t>
      </w:r>
    </w:p>
    <w:sectPr w:rsidR="00C00147" w:rsidRPr="00D83102"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08" w:rsidRDefault="007C2808">
      <w:r>
        <w:separator/>
      </w:r>
    </w:p>
  </w:endnote>
  <w:endnote w:type="continuationSeparator" w:id="0">
    <w:p w:rsidR="007C2808" w:rsidRDefault="007C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4703BB" w:rsidRPr="004703BB" w:rsidTr="00470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4703BB" w:rsidRPr="004703BB" w:rsidRDefault="004703BB" w:rsidP="004703BB">
          <w:pPr>
            <w:pStyle w:val="Footer"/>
            <w:ind w:firstLine="0"/>
            <w:jc w:val="center"/>
            <w:rPr>
              <w:b w:val="0"/>
              <w:sz w:val="18"/>
            </w:rPr>
          </w:pPr>
          <w:r>
            <w:rPr>
              <w:b w:val="0"/>
              <w:sz w:val="18"/>
            </w:rPr>
            <w:t>Committee meeting materials may be accessed online at http://www.lrc.ky.gov/CommitteeMeetingDocuments/287</w:t>
          </w:r>
        </w:p>
      </w:tc>
    </w:tr>
  </w:tbl>
  <w:p w:rsidR="007D5D47" w:rsidRPr="004703BB" w:rsidRDefault="004703BB" w:rsidP="004703BB">
    <w:pPr>
      <w:pStyle w:val="Footer"/>
      <w:jc w:val="center"/>
    </w:pP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08" w:rsidRDefault="007C2808">
      <w:r>
        <w:separator/>
      </w:r>
    </w:p>
  </w:footnote>
  <w:footnote w:type="continuationSeparator" w:id="0">
    <w:p w:rsidR="007C2808" w:rsidRDefault="007C2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Public Pensions\180827.docx"/>
  </w:docVars>
  <w:rsids>
    <w:rsidRoot w:val="00816E30"/>
    <w:rsid w:val="00023384"/>
    <w:rsid w:val="000236C5"/>
    <w:rsid w:val="00025243"/>
    <w:rsid w:val="000452BD"/>
    <w:rsid w:val="000906B5"/>
    <w:rsid w:val="00096D96"/>
    <w:rsid w:val="000A2160"/>
    <w:rsid w:val="000A6BA5"/>
    <w:rsid w:val="000B0C8B"/>
    <w:rsid w:val="000B393B"/>
    <w:rsid w:val="00105D6B"/>
    <w:rsid w:val="001141EF"/>
    <w:rsid w:val="0012677E"/>
    <w:rsid w:val="0013371D"/>
    <w:rsid w:val="001417EF"/>
    <w:rsid w:val="00147537"/>
    <w:rsid w:val="001554EC"/>
    <w:rsid w:val="00155DC7"/>
    <w:rsid w:val="00163718"/>
    <w:rsid w:val="0017295D"/>
    <w:rsid w:val="001743C3"/>
    <w:rsid w:val="001769DE"/>
    <w:rsid w:val="00190B76"/>
    <w:rsid w:val="001B3455"/>
    <w:rsid w:val="001B4BAC"/>
    <w:rsid w:val="001C2434"/>
    <w:rsid w:val="001D05C4"/>
    <w:rsid w:val="001E06A8"/>
    <w:rsid w:val="001F4B0D"/>
    <w:rsid w:val="00200353"/>
    <w:rsid w:val="0020209C"/>
    <w:rsid w:val="002224D5"/>
    <w:rsid w:val="00250BF1"/>
    <w:rsid w:val="002546DA"/>
    <w:rsid w:val="00263758"/>
    <w:rsid w:val="002659CD"/>
    <w:rsid w:val="002768F5"/>
    <w:rsid w:val="002838BD"/>
    <w:rsid w:val="0029169D"/>
    <w:rsid w:val="002A11C7"/>
    <w:rsid w:val="002A5A53"/>
    <w:rsid w:val="002B0B34"/>
    <w:rsid w:val="002B7CA9"/>
    <w:rsid w:val="002C1887"/>
    <w:rsid w:val="002C4071"/>
    <w:rsid w:val="002C4CFE"/>
    <w:rsid w:val="002C6F23"/>
    <w:rsid w:val="002C74F3"/>
    <w:rsid w:val="002E74C3"/>
    <w:rsid w:val="002F0881"/>
    <w:rsid w:val="002F25B5"/>
    <w:rsid w:val="00310B2A"/>
    <w:rsid w:val="0031263F"/>
    <w:rsid w:val="00326CE0"/>
    <w:rsid w:val="00336001"/>
    <w:rsid w:val="003409E7"/>
    <w:rsid w:val="003532C9"/>
    <w:rsid w:val="003905E3"/>
    <w:rsid w:val="003B1259"/>
    <w:rsid w:val="003B7C46"/>
    <w:rsid w:val="003C23DA"/>
    <w:rsid w:val="003D0D93"/>
    <w:rsid w:val="003E27F7"/>
    <w:rsid w:val="003F04F5"/>
    <w:rsid w:val="00411646"/>
    <w:rsid w:val="0041748A"/>
    <w:rsid w:val="0044042D"/>
    <w:rsid w:val="0044297A"/>
    <w:rsid w:val="004677C0"/>
    <w:rsid w:val="004703BB"/>
    <w:rsid w:val="00471B30"/>
    <w:rsid w:val="004A086A"/>
    <w:rsid w:val="004B4676"/>
    <w:rsid w:val="004B6F22"/>
    <w:rsid w:val="004C20E4"/>
    <w:rsid w:val="004C32C4"/>
    <w:rsid w:val="004F197B"/>
    <w:rsid w:val="004F41B4"/>
    <w:rsid w:val="005256E8"/>
    <w:rsid w:val="00534943"/>
    <w:rsid w:val="00546E94"/>
    <w:rsid w:val="005660F2"/>
    <w:rsid w:val="00571408"/>
    <w:rsid w:val="00581AC1"/>
    <w:rsid w:val="005854EB"/>
    <w:rsid w:val="00586152"/>
    <w:rsid w:val="00591E44"/>
    <w:rsid w:val="005D66C3"/>
    <w:rsid w:val="005D6E0A"/>
    <w:rsid w:val="005E6D1F"/>
    <w:rsid w:val="005F159C"/>
    <w:rsid w:val="005F35D3"/>
    <w:rsid w:val="00601CE4"/>
    <w:rsid w:val="00603B36"/>
    <w:rsid w:val="006067B5"/>
    <w:rsid w:val="00626A9D"/>
    <w:rsid w:val="00647FCE"/>
    <w:rsid w:val="0065000F"/>
    <w:rsid w:val="006526E3"/>
    <w:rsid w:val="006577E3"/>
    <w:rsid w:val="00667452"/>
    <w:rsid w:val="00672676"/>
    <w:rsid w:val="006B010A"/>
    <w:rsid w:val="006B5ADC"/>
    <w:rsid w:val="006B7327"/>
    <w:rsid w:val="006C223E"/>
    <w:rsid w:val="006C33F4"/>
    <w:rsid w:val="006E72D4"/>
    <w:rsid w:val="006F15C0"/>
    <w:rsid w:val="00702972"/>
    <w:rsid w:val="0071402F"/>
    <w:rsid w:val="00714D2D"/>
    <w:rsid w:val="00724F31"/>
    <w:rsid w:val="007324D1"/>
    <w:rsid w:val="00763A1A"/>
    <w:rsid w:val="00776E02"/>
    <w:rsid w:val="007C2808"/>
    <w:rsid w:val="007C6603"/>
    <w:rsid w:val="007D5D47"/>
    <w:rsid w:val="007F3A55"/>
    <w:rsid w:val="00801097"/>
    <w:rsid w:val="00816E30"/>
    <w:rsid w:val="008245FD"/>
    <w:rsid w:val="00835EE8"/>
    <w:rsid w:val="00836A06"/>
    <w:rsid w:val="008530AA"/>
    <w:rsid w:val="008660F6"/>
    <w:rsid w:val="008704D0"/>
    <w:rsid w:val="00876D18"/>
    <w:rsid w:val="00883BAB"/>
    <w:rsid w:val="008877AF"/>
    <w:rsid w:val="008C2238"/>
    <w:rsid w:val="008D6F33"/>
    <w:rsid w:val="008E630D"/>
    <w:rsid w:val="00915B0F"/>
    <w:rsid w:val="009612F3"/>
    <w:rsid w:val="00967AB5"/>
    <w:rsid w:val="00974844"/>
    <w:rsid w:val="00983F32"/>
    <w:rsid w:val="00985592"/>
    <w:rsid w:val="009A3F7D"/>
    <w:rsid w:val="009A543B"/>
    <w:rsid w:val="009B2409"/>
    <w:rsid w:val="009B4A76"/>
    <w:rsid w:val="009B5D52"/>
    <w:rsid w:val="009D2939"/>
    <w:rsid w:val="009D6066"/>
    <w:rsid w:val="009E16BE"/>
    <w:rsid w:val="009E4ED7"/>
    <w:rsid w:val="00A04C28"/>
    <w:rsid w:val="00A1211A"/>
    <w:rsid w:val="00A14343"/>
    <w:rsid w:val="00A1516B"/>
    <w:rsid w:val="00A31915"/>
    <w:rsid w:val="00A41B54"/>
    <w:rsid w:val="00A967DC"/>
    <w:rsid w:val="00AA21C8"/>
    <w:rsid w:val="00AA4D6A"/>
    <w:rsid w:val="00AC0155"/>
    <w:rsid w:val="00B1063C"/>
    <w:rsid w:val="00B254A7"/>
    <w:rsid w:val="00B31F72"/>
    <w:rsid w:val="00B53E24"/>
    <w:rsid w:val="00B57196"/>
    <w:rsid w:val="00B60E15"/>
    <w:rsid w:val="00B70C95"/>
    <w:rsid w:val="00B77E59"/>
    <w:rsid w:val="00BA7E0E"/>
    <w:rsid w:val="00BC3D94"/>
    <w:rsid w:val="00BC47EA"/>
    <w:rsid w:val="00BD0FE6"/>
    <w:rsid w:val="00BE06C8"/>
    <w:rsid w:val="00C00147"/>
    <w:rsid w:val="00C051AF"/>
    <w:rsid w:val="00C14978"/>
    <w:rsid w:val="00C16438"/>
    <w:rsid w:val="00C17F7F"/>
    <w:rsid w:val="00C22374"/>
    <w:rsid w:val="00C4500C"/>
    <w:rsid w:val="00C61B95"/>
    <w:rsid w:val="00C61D48"/>
    <w:rsid w:val="00C74610"/>
    <w:rsid w:val="00C80174"/>
    <w:rsid w:val="00CA652F"/>
    <w:rsid w:val="00CB1B67"/>
    <w:rsid w:val="00CB7856"/>
    <w:rsid w:val="00CD166B"/>
    <w:rsid w:val="00CD293D"/>
    <w:rsid w:val="00CD3CD4"/>
    <w:rsid w:val="00CE026A"/>
    <w:rsid w:val="00CE0D71"/>
    <w:rsid w:val="00D442F7"/>
    <w:rsid w:val="00D515CA"/>
    <w:rsid w:val="00D539BB"/>
    <w:rsid w:val="00D53A4A"/>
    <w:rsid w:val="00D57141"/>
    <w:rsid w:val="00D7154E"/>
    <w:rsid w:val="00D81A44"/>
    <w:rsid w:val="00D83102"/>
    <w:rsid w:val="00D85B71"/>
    <w:rsid w:val="00DA137D"/>
    <w:rsid w:val="00DB5633"/>
    <w:rsid w:val="00DC18A6"/>
    <w:rsid w:val="00DD1C8B"/>
    <w:rsid w:val="00E173BD"/>
    <w:rsid w:val="00E22AA1"/>
    <w:rsid w:val="00E253FD"/>
    <w:rsid w:val="00E433D9"/>
    <w:rsid w:val="00E87AA1"/>
    <w:rsid w:val="00E915C1"/>
    <w:rsid w:val="00EC09BE"/>
    <w:rsid w:val="00ED5E43"/>
    <w:rsid w:val="00EF6D62"/>
    <w:rsid w:val="00F06194"/>
    <w:rsid w:val="00F10B9C"/>
    <w:rsid w:val="00F164AF"/>
    <w:rsid w:val="00F26858"/>
    <w:rsid w:val="00F34D79"/>
    <w:rsid w:val="00F5195D"/>
    <w:rsid w:val="00F605F6"/>
    <w:rsid w:val="00F72AC2"/>
    <w:rsid w:val="00F768ED"/>
    <w:rsid w:val="00F77B31"/>
    <w:rsid w:val="00F91BA7"/>
    <w:rsid w:val="00FC0BDB"/>
    <w:rsid w:val="00FC1F40"/>
    <w:rsid w:val="00FF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D58257-B1D8-43F4-916B-4B6E6885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character" w:styleId="CommentReference">
    <w:name w:val="annotation reference"/>
    <w:basedOn w:val="DefaultParagraphFont"/>
    <w:semiHidden/>
    <w:unhideWhenUsed/>
    <w:rsid w:val="009D2939"/>
    <w:rPr>
      <w:sz w:val="16"/>
      <w:szCs w:val="16"/>
    </w:rPr>
  </w:style>
  <w:style w:type="paragraph" w:styleId="CommentText">
    <w:name w:val="annotation text"/>
    <w:basedOn w:val="Normal"/>
    <w:link w:val="CommentTextChar"/>
    <w:semiHidden/>
    <w:unhideWhenUsed/>
    <w:rsid w:val="009D2939"/>
    <w:rPr>
      <w:sz w:val="20"/>
    </w:rPr>
  </w:style>
  <w:style w:type="character" w:customStyle="1" w:styleId="CommentTextChar">
    <w:name w:val="Comment Text Char"/>
    <w:basedOn w:val="DefaultParagraphFont"/>
    <w:link w:val="CommentText"/>
    <w:semiHidden/>
    <w:rsid w:val="009D2939"/>
  </w:style>
  <w:style w:type="paragraph" w:styleId="CommentSubject">
    <w:name w:val="annotation subject"/>
    <w:basedOn w:val="CommentText"/>
    <w:next w:val="CommentText"/>
    <w:link w:val="CommentSubjectChar"/>
    <w:semiHidden/>
    <w:unhideWhenUsed/>
    <w:rsid w:val="009D2939"/>
    <w:rPr>
      <w:b/>
      <w:bCs/>
    </w:rPr>
  </w:style>
  <w:style w:type="character" w:customStyle="1" w:styleId="CommentSubjectChar">
    <w:name w:val="Comment Subject Char"/>
    <w:basedOn w:val="CommentTextChar"/>
    <w:link w:val="CommentSubject"/>
    <w:semiHidden/>
    <w:rsid w:val="009D2939"/>
    <w:rPr>
      <w:b/>
      <w:bCs/>
    </w:rPr>
  </w:style>
  <w:style w:type="paragraph" w:styleId="BalloonText">
    <w:name w:val="Balloon Text"/>
    <w:basedOn w:val="Normal"/>
    <w:link w:val="BalloonTextChar"/>
    <w:semiHidden/>
    <w:unhideWhenUsed/>
    <w:rsid w:val="009D2939"/>
    <w:rPr>
      <w:rFonts w:ascii="Segoe UI" w:hAnsi="Segoe UI" w:cs="Segoe UI"/>
      <w:sz w:val="18"/>
      <w:szCs w:val="18"/>
    </w:rPr>
  </w:style>
  <w:style w:type="character" w:customStyle="1" w:styleId="BalloonTextChar">
    <w:name w:val="Balloon Text Char"/>
    <w:basedOn w:val="DefaultParagraphFont"/>
    <w:link w:val="BalloonText"/>
    <w:semiHidden/>
    <w:rsid w:val="009D2939"/>
    <w:rPr>
      <w:rFonts w:ascii="Segoe UI" w:hAnsi="Segoe UI" w:cs="Segoe UI"/>
      <w:sz w:val="18"/>
      <w:szCs w:val="18"/>
    </w:rPr>
  </w:style>
  <w:style w:type="paragraph" w:styleId="Revision">
    <w:name w:val="Revision"/>
    <w:hidden/>
    <w:uiPriority w:val="99"/>
    <w:semiHidden/>
    <w:rsid w:val="009D2939"/>
    <w:rPr>
      <w:sz w:val="26"/>
    </w:rPr>
  </w:style>
  <w:style w:type="paragraph" w:styleId="Header">
    <w:name w:val="header"/>
    <w:basedOn w:val="Normal"/>
    <w:link w:val="HeaderChar"/>
    <w:unhideWhenUsed/>
    <w:rsid w:val="00586152"/>
    <w:pPr>
      <w:tabs>
        <w:tab w:val="center" w:pos="4680"/>
        <w:tab w:val="right" w:pos="9360"/>
      </w:tabs>
    </w:pPr>
  </w:style>
  <w:style w:type="character" w:customStyle="1" w:styleId="HeaderChar">
    <w:name w:val="Header Char"/>
    <w:basedOn w:val="DefaultParagraphFont"/>
    <w:link w:val="Header"/>
    <w:rsid w:val="00586152"/>
    <w:rPr>
      <w:sz w:val="26"/>
    </w:rPr>
  </w:style>
  <w:style w:type="table" w:styleId="TableGrid">
    <w:name w:val="Table Grid"/>
    <w:basedOn w:val="TableNormal"/>
    <w:rsid w:val="00586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861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7143-234B-4A22-957B-4F1BB3A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1</TotalTime>
  <Pages>1</Pages>
  <Words>3600</Words>
  <Characters>18923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Rhodes, Angela (LRC)</dc:creator>
  <cp:keywords/>
  <cp:lastModifiedBy>Schweickart,  Chris (LRC)</cp:lastModifiedBy>
  <cp:revision>2</cp:revision>
  <cp:lastPrinted>1993-03-11T17:52:00Z</cp:lastPrinted>
  <dcterms:created xsi:type="dcterms:W3CDTF">2018-09-21T15:06:00Z</dcterms:created>
  <dcterms:modified xsi:type="dcterms:W3CDTF">2018-09-21T15:06:00Z</dcterms:modified>
</cp:coreProperties>
</file>