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A9" w:rsidRDefault="00AF49A9" w:rsidP="00237057">
      <w:pPr>
        <w:jc w:val="center"/>
      </w:pPr>
    </w:p>
    <w:p w:rsidR="00237057" w:rsidRDefault="00405D03" w:rsidP="00237057">
      <w:pPr>
        <w:jc w:val="center"/>
        <w:rPr>
          <w:rFonts w:ascii="Calibri" w:eastAsia="Times New Roman" w:hAnsi="Calibri" w:cs="Times New Roman"/>
          <w:b/>
          <w:bCs/>
          <w:szCs w:val="24"/>
        </w:rPr>
      </w:pPr>
      <w:r w:rsidRPr="006C32FC">
        <w:rPr>
          <w:rFonts w:ascii="Calibri" w:eastAsia="Times New Roman" w:hAnsi="Calibri" w:cs="Times New Roman"/>
          <w:b/>
          <w:bCs/>
          <w:szCs w:val="24"/>
        </w:rPr>
        <w:t>Districts with “New Nickels” Eligible for Full E</w:t>
      </w:r>
      <w:r w:rsidR="005A002C">
        <w:rPr>
          <w:rFonts w:ascii="Calibri" w:eastAsia="Times New Roman" w:hAnsi="Calibri" w:cs="Times New Roman"/>
          <w:b/>
          <w:bCs/>
          <w:szCs w:val="24"/>
        </w:rPr>
        <w:t xml:space="preserve">qualization during the </w:t>
      </w:r>
      <w:r w:rsidR="00650A80" w:rsidRPr="00C55364">
        <w:rPr>
          <w:rFonts w:ascii="Calibri" w:eastAsia="Times New Roman" w:hAnsi="Calibri" w:cs="Times New Roman"/>
          <w:b/>
          <w:bCs/>
          <w:szCs w:val="24"/>
        </w:rPr>
        <w:t>20</w:t>
      </w:r>
      <w:r w:rsidR="00C55364" w:rsidRPr="00C55364">
        <w:rPr>
          <w:rFonts w:ascii="Calibri" w:eastAsia="Times New Roman" w:hAnsi="Calibri" w:cs="Times New Roman"/>
          <w:b/>
          <w:bCs/>
          <w:szCs w:val="24"/>
        </w:rPr>
        <w:t>20-2022</w:t>
      </w:r>
      <w:r w:rsidRPr="006C32FC">
        <w:rPr>
          <w:rFonts w:ascii="Calibri" w:eastAsia="Times New Roman" w:hAnsi="Calibri" w:cs="Times New Roman"/>
          <w:b/>
          <w:bCs/>
          <w:szCs w:val="24"/>
        </w:rPr>
        <w:t xml:space="preserve"> Fiscal Biennium Budget</w:t>
      </w:r>
    </w:p>
    <w:p w:rsidR="006817DB" w:rsidRPr="00FF04A1" w:rsidRDefault="006817DB" w:rsidP="00B76D97">
      <w:pPr>
        <w:jc w:val="center"/>
        <w:rPr>
          <w:sz w:val="16"/>
          <w:szCs w:val="16"/>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170"/>
        <w:gridCol w:w="1715"/>
        <w:gridCol w:w="1600"/>
        <w:gridCol w:w="1680"/>
      </w:tblGrid>
      <w:tr w:rsidR="00FF04A1" w:rsidRPr="00FF04A1" w:rsidTr="00FF04A1">
        <w:trPr>
          <w:trHeight w:val="413"/>
          <w:jc w:val="center"/>
        </w:trPr>
        <w:tc>
          <w:tcPr>
            <w:tcW w:w="2340" w:type="dxa"/>
            <w:shd w:val="clear" w:color="auto" w:fill="auto"/>
            <w:noWrap/>
            <w:vAlign w:val="center"/>
            <w:hideMark/>
          </w:tcPr>
          <w:p w:rsidR="00FF04A1" w:rsidRPr="00FF04A1" w:rsidRDefault="00FF04A1" w:rsidP="00FF04A1">
            <w:pPr>
              <w:jc w:val="center"/>
              <w:rPr>
                <w:rFonts w:ascii="Calibri" w:eastAsia="Times New Roman" w:hAnsi="Calibri" w:cs="Calibri"/>
                <w:b/>
                <w:bCs/>
                <w:color w:val="000000"/>
                <w:sz w:val="16"/>
                <w:szCs w:val="16"/>
              </w:rPr>
            </w:pPr>
            <w:r w:rsidRPr="00FF04A1">
              <w:rPr>
                <w:rFonts w:ascii="Calibri" w:eastAsia="Times New Roman" w:hAnsi="Calibri" w:cs="Calibri"/>
                <w:b/>
                <w:bCs/>
                <w:color w:val="000000"/>
                <w:sz w:val="16"/>
                <w:szCs w:val="16"/>
              </w:rPr>
              <w:t>District</w:t>
            </w:r>
          </w:p>
        </w:tc>
        <w:tc>
          <w:tcPr>
            <w:tcW w:w="1170" w:type="dxa"/>
            <w:shd w:val="clear" w:color="auto" w:fill="auto"/>
            <w:noWrap/>
            <w:vAlign w:val="center"/>
            <w:hideMark/>
          </w:tcPr>
          <w:p w:rsidR="00FF04A1" w:rsidRPr="00FF04A1" w:rsidRDefault="00FF04A1" w:rsidP="00FF04A1">
            <w:pPr>
              <w:jc w:val="center"/>
              <w:rPr>
                <w:rFonts w:ascii="Calibri" w:eastAsia="Times New Roman" w:hAnsi="Calibri" w:cs="Calibri"/>
                <w:b/>
                <w:bCs/>
                <w:color w:val="000000"/>
                <w:sz w:val="16"/>
                <w:szCs w:val="16"/>
              </w:rPr>
            </w:pPr>
            <w:r w:rsidRPr="00FF04A1">
              <w:rPr>
                <w:rFonts w:ascii="Calibri" w:eastAsia="Times New Roman" w:hAnsi="Calibri" w:cs="Calibri"/>
                <w:b/>
                <w:bCs/>
                <w:color w:val="000000"/>
                <w:sz w:val="16"/>
                <w:szCs w:val="16"/>
              </w:rPr>
              <w:t>Enrollment</w:t>
            </w:r>
          </w:p>
        </w:tc>
        <w:tc>
          <w:tcPr>
            <w:tcW w:w="1715" w:type="dxa"/>
            <w:shd w:val="clear" w:color="auto" w:fill="auto"/>
            <w:noWrap/>
            <w:vAlign w:val="center"/>
            <w:hideMark/>
          </w:tcPr>
          <w:p w:rsidR="00BE2044" w:rsidRDefault="00BE2044" w:rsidP="00FF04A1">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Local </w:t>
            </w:r>
          </w:p>
          <w:p w:rsidR="00FF04A1" w:rsidRPr="00FF04A1" w:rsidRDefault="00FF04A1" w:rsidP="00FF04A1">
            <w:pPr>
              <w:jc w:val="center"/>
              <w:rPr>
                <w:rFonts w:ascii="Calibri" w:eastAsia="Times New Roman" w:hAnsi="Calibri" w:cs="Calibri"/>
                <w:b/>
                <w:bCs/>
                <w:color w:val="000000"/>
                <w:sz w:val="16"/>
                <w:szCs w:val="16"/>
              </w:rPr>
            </w:pPr>
            <w:r w:rsidRPr="00DC780E">
              <w:rPr>
                <w:rFonts w:ascii="Calibri" w:eastAsia="Times New Roman" w:hAnsi="Calibri" w:cs="Calibri"/>
                <w:b/>
                <w:bCs/>
                <w:color w:val="000000"/>
                <w:sz w:val="16"/>
                <w:szCs w:val="16"/>
              </w:rPr>
              <w:t>Assessment Amount</w:t>
            </w:r>
          </w:p>
        </w:tc>
        <w:tc>
          <w:tcPr>
            <w:tcW w:w="1600" w:type="dxa"/>
            <w:shd w:val="clear" w:color="auto" w:fill="auto"/>
            <w:vAlign w:val="center"/>
            <w:hideMark/>
          </w:tcPr>
          <w:p w:rsidR="00BE2044" w:rsidRDefault="00FF04A1" w:rsidP="00FF04A1">
            <w:pPr>
              <w:jc w:val="center"/>
              <w:rPr>
                <w:rFonts w:ascii="Calibri" w:eastAsia="Times New Roman" w:hAnsi="Calibri" w:cs="Calibri"/>
                <w:b/>
                <w:bCs/>
                <w:color w:val="000000"/>
                <w:sz w:val="16"/>
                <w:szCs w:val="16"/>
              </w:rPr>
            </w:pPr>
            <w:r w:rsidRPr="00FF04A1">
              <w:rPr>
                <w:rFonts w:ascii="Calibri" w:eastAsia="Times New Roman" w:hAnsi="Calibri" w:cs="Calibri"/>
                <w:b/>
                <w:bCs/>
                <w:color w:val="000000"/>
                <w:sz w:val="16"/>
                <w:szCs w:val="16"/>
              </w:rPr>
              <w:t xml:space="preserve">Local </w:t>
            </w:r>
          </w:p>
          <w:p w:rsidR="00FF04A1" w:rsidRPr="00FF04A1" w:rsidRDefault="00FF04A1" w:rsidP="00FF04A1">
            <w:pPr>
              <w:jc w:val="center"/>
              <w:rPr>
                <w:rFonts w:ascii="Calibri" w:eastAsia="Times New Roman" w:hAnsi="Calibri" w:cs="Calibri"/>
                <w:b/>
                <w:bCs/>
                <w:color w:val="000000"/>
                <w:sz w:val="16"/>
                <w:szCs w:val="16"/>
              </w:rPr>
            </w:pPr>
            <w:r w:rsidRPr="00DC780E">
              <w:rPr>
                <w:rFonts w:ascii="Calibri" w:eastAsia="Times New Roman" w:hAnsi="Calibri" w:cs="Calibri"/>
                <w:b/>
                <w:bCs/>
                <w:color w:val="000000"/>
                <w:sz w:val="16"/>
                <w:szCs w:val="16"/>
              </w:rPr>
              <w:t>Nickel Revenue</w:t>
            </w:r>
          </w:p>
        </w:tc>
        <w:tc>
          <w:tcPr>
            <w:tcW w:w="1680" w:type="dxa"/>
            <w:shd w:val="clear" w:color="auto" w:fill="auto"/>
            <w:vAlign w:val="center"/>
            <w:hideMark/>
          </w:tcPr>
          <w:p w:rsidR="00FF04A1" w:rsidRPr="00FF04A1" w:rsidRDefault="00FF04A1" w:rsidP="00FF04A1">
            <w:pPr>
              <w:jc w:val="center"/>
              <w:rPr>
                <w:rFonts w:ascii="Calibri" w:eastAsia="Times New Roman" w:hAnsi="Calibri" w:cs="Calibri"/>
                <w:b/>
                <w:bCs/>
                <w:color w:val="000000"/>
                <w:sz w:val="16"/>
                <w:szCs w:val="16"/>
              </w:rPr>
            </w:pPr>
            <w:r w:rsidRPr="00FF04A1">
              <w:rPr>
                <w:rFonts w:ascii="Calibri" w:eastAsia="Times New Roman" w:hAnsi="Calibri" w:cs="Calibri"/>
                <w:b/>
                <w:bCs/>
                <w:color w:val="000000"/>
                <w:sz w:val="16"/>
                <w:szCs w:val="16"/>
              </w:rPr>
              <w:t xml:space="preserve">Full Equalization </w:t>
            </w:r>
            <w:r w:rsidRPr="00DC780E">
              <w:rPr>
                <w:rFonts w:ascii="Calibri" w:eastAsia="Times New Roman" w:hAnsi="Calibri" w:cs="Calibri"/>
                <w:b/>
                <w:bCs/>
                <w:color w:val="000000"/>
                <w:sz w:val="16"/>
                <w:szCs w:val="16"/>
              </w:rPr>
              <w:t>Amount</w:t>
            </w:r>
          </w:p>
        </w:tc>
      </w:tr>
      <w:tr w:rsidR="000A10B5" w:rsidRPr="00FF04A1" w:rsidTr="007676FA">
        <w:trPr>
          <w:trHeight w:val="245"/>
          <w:jc w:val="center"/>
        </w:trPr>
        <w:tc>
          <w:tcPr>
            <w:tcW w:w="2340" w:type="dxa"/>
            <w:shd w:val="clear" w:color="auto" w:fill="auto"/>
            <w:noWrap/>
            <w:vAlign w:val="bottom"/>
          </w:tcPr>
          <w:p w:rsidR="000A10B5" w:rsidRDefault="000A10B5" w:rsidP="000A10B5">
            <w:pPr>
              <w:rPr>
                <w:rFonts w:ascii="Calibri" w:hAnsi="Calibri" w:cs="Calibri"/>
                <w:color w:val="000000"/>
                <w:sz w:val="16"/>
                <w:szCs w:val="16"/>
              </w:rPr>
            </w:pPr>
            <w:r>
              <w:rPr>
                <w:rFonts w:ascii="Calibri" w:hAnsi="Calibri" w:cs="Calibri"/>
                <w:color w:val="000000"/>
                <w:sz w:val="16"/>
                <w:szCs w:val="16"/>
              </w:rPr>
              <w:t>Augusta Independent</w:t>
            </w:r>
          </w:p>
        </w:tc>
        <w:tc>
          <w:tcPr>
            <w:tcW w:w="1170" w:type="dxa"/>
            <w:shd w:val="clear" w:color="auto" w:fill="auto"/>
            <w:noWrap/>
            <w:vAlign w:val="bottom"/>
          </w:tcPr>
          <w:p w:rsidR="000A10B5" w:rsidRDefault="000A10B5" w:rsidP="000A10B5">
            <w:pPr>
              <w:jc w:val="center"/>
              <w:rPr>
                <w:rFonts w:ascii="Calibri" w:hAnsi="Calibri" w:cs="Calibri"/>
                <w:color w:val="000000"/>
                <w:sz w:val="16"/>
                <w:szCs w:val="16"/>
              </w:rPr>
            </w:pPr>
            <w:r>
              <w:rPr>
                <w:rFonts w:ascii="Calibri" w:hAnsi="Calibri" w:cs="Calibri"/>
                <w:color w:val="000000"/>
                <w:sz w:val="16"/>
                <w:szCs w:val="16"/>
              </w:rPr>
              <w:t>295</w:t>
            </w:r>
          </w:p>
        </w:tc>
        <w:tc>
          <w:tcPr>
            <w:tcW w:w="1715" w:type="dxa"/>
            <w:shd w:val="clear" w:color="auto" w:fill="auto"/>
            <w:noWrap/>
            <w:vAlign w:val="bottom"/>
          </w:tcPr>
          <w:p w:rsidR="000A10B5" w:rsidRDefault="000A10B5" w:rsidP="000A10B5">
            <w:pPr>
              <w:jc w:val="center"/>
              <w:rPr>
                <w:rFonts w:ascii="Calibri" w:hAnsi="Calibri" w:cs="Calibri"/>
                <w:color w:val="000000"/>
                <w:sz w:val="16"/>
                <w:szCs w:val="16"/>
              </w:rPr>
            </w:pPr>
            <w:r>
              <w:rPr>
                <w:rFonts w:ascii="Calibri" w:hAnsi="Calibri" w:cs="Calibri"/>
                <w:color w:val="000000"/>
                <w:sz w:val="16"/>
                <w:szCs w:val="16"/>
              </w:rPr>
              <w:t>$62,223,799</w:t>
            </w:r>
          </w:p>
        </w:tc>
        <w:tc>
          <w:tcPr>
            <w:tcW w:w="1600" w:type="dxa"/>
            <w:shd w:val="clear" w:color="auto" w:fill="auto"/>
            <w:noWrap/>
            <w:vAlign w:val="bottom"/>
          </w:tcPr>
          <w:p w:rsidR="000A10B5" w:rsidRDefault="000A10B5" w:rsidP="000A10B5">
            <w:pPr>
              <w:jc w:val="center"/>
              <w:rPr>
                <w:rFonts w:ascii="Calibri" w:hAnsi="Calibri" w:cs="Calibri"/>
                <w:color w:val="000000"/>
                <w:sz w:val="16"/>
                <w:szCs w:val="16"/>
              </w:rPr>
            </w:pPr>
            <w:r>
              <w:rPr>
                <w:rFonts w:ascii="Calibri" w:hAnsi="Calibri" w:cs="Calibri"/>
                <w:color w:val="000000"/>
                <w:sz w:val="16"/>
                <w:szCs w:val="16"/>
              </w:rPr>
              <w:t>$31,112</w:t>
            </w:r>
          </w:p>
        </w:tc>
        <w:tc>
          <w:tcPr>
            <w:tcW w:w="1680" w:type="dxa"/>
            <w:shd w:val="clear" w:color="auto" w:fill="auto"/>
            <w:noWrap/>
            <w:vAlign w:val="bottom"/>
          </w:tcPr>
          <w:p w:rsidR="000A10B5" w:rsidRPr="003B6A94" w:rsidRDefault="000A10B5" w:rsidP="000A10B5">
            <w:pPr>
              <w:jc w:val="center"/>
              <w:rPr>
                <w:rFonts w:ascii="Calibri" w:hAnsi="Calibri" w:cs="Calibri"/>
                <w:color w:val="000000"/>
                <w:sz w:val="16"/>
                <w:szCs w:val="16"/>
              </w:rPr>
            </w:pPr>
            <w:r>
              <w:rPr>
                <w:rFonts w:ascii="Calibri" w:hAnsi="Calibri" w:cs="Calibri"/>
                <w:color w:val="000000"/>
                <w:sz w:val="16"/>
                <w:szCs w:val="16"/>
              </w:rPr>
              <w:t>$74,401</w:t>
            </w:r>
          </w:p>
        </w:tc>
      </w:tr>
      <w:tr w:rsidR="000A10B5" w:rsidRPr="00FF04A1" w:rsidTr="007676FA">
        <w:trPr>
          <w:trHeight w:val="245"/>
          <w:jc w:val="center"/>
        </w:trPr>
        <w:tc>
          <w:tcPr>
            <w:tcW w:w="2340" w:type="dxa"/>
            <w:shd w:val="clear" w:color="auto" w:fill="auto"/>
            <w:noWrap/>
            <w:vAlign w:val="bottom"/>
          </w:tcPr>
          <w:p w:rsidR="000A10B5" w:rsidRPr="008E40CF" w:rsidRDefault="000A10B5" w:rsidP="000A10B5">
            <w:pPr>
              <w:rPr>
                <w:rFonts w:ascii="Calibri" w:hAnsi="Calibri" w:cs="Calibri"/>
                <w:color w:val="000000"/>
                <w:sz w:val="16"/>
                <w:szCs w:val="16"/>
              </w:rPr>
            </w:pPr>
            <w:r>
              <w:rPr>
                <w:rFonts w:ascii="Calibri" w:hAnsi="Calibri" w:cs="Calibri"/>
                <w:color w:val="000000"/>
                <w:sz w:val="16"/>
                <w:szCs w:val="16"/>
              </w:rPr>
              <w:t>Beechwood Independent</w:t>
            </w:r>
          </w:p>
        </w:tc>
        <w:tc>
          <w:tcPr>
            <w:tcW w:w="1170" w:type="dxa"/>
            <w:shd w:val="clear" w:color="auto" w:fill="auto"/>
            <w:noWrap/>
            <w:vAlign w:val="bottom"/>
          </w:tcPr>
          <w:p w:rsidR="000A10B5" w:rsidRPr="008E40CF" w:rsidRDefault="000A10B5" w:rsidP="000A10B5">
            <w:pPr>
              <w:jc w:val="center"/>
              <w:rPr>
                <w:rFonts w:ascii="Calibri" w:hAnsi="Calibri" w:cs="Calibri"/>
                <w:color w:val="000000"/>
                <w:sz w:val="16"/>
                <w:szCs w:val="16"/>
              </w:rPr>
            </w:pPr>
            <w:r>
              <w:rPr>
                <w:rFonts w:ascii="Calibri" w:hAnsi="Calibri" w:cs="Calibri"/>
                <w:color w:val="000000"/>
                <w:sz w:val="16"/>
                <w:szCs w:val="16"/>
              </w:rPr>
              <w:t>1,396</w:t>
            </w:r>
          </w:p>
        </w:tc>
        <w:tc>
          <w:tcPr>
            <w:tcW w:w="1715" w:type="dxa"/>
            <w:shd w:val="clear" w:color="auto" w:fill="auto"/>
            <w:noWrap/>
            <w:vAlign w:val="bottom"/>
          </w:tcPr>
          <w:p w:rsidR="000A10B5" w:rsidRDefault="000A10B5" w:rsidP="000A10B5">
            <w:pPr>
              <w:jc w:val="center"/>
              <w:rPr>
                <w:rFonts w:ascii="Calibri" w:hAnsi="Calibri" w:cs="Calibri"/>
                <w:color w:val="000000"/>
                <w:sz w:val="16"/>
                <w:szCs w:val="16"/>
              </w:rPr>
            </w:pPr>
            <w:r>
              <w:rPr>
                <w:rFonts w:ascii="Calibri" w:hAnsi="Calibri" w:cs="Calibri"/>
                <w:color w:val="000000"/>
                <w:sz w:val="16"/>
                <w:szCs w:val="16"/>
              </w:rPr>
              <w:t>$729,079,509</w:t>
            </w:r>
          </w:p>
        </w:tc>
        <w:tc>
          <w:tcPr>
            <w:tcW w:w="1600" w:type="dxa"/>
            <w:shd w:val="clear" w:color="auto" w:fill="auto"/>
            <w:noWrap/>
            <w:vAlign w:val="bottom"/>
          </w:tcPr>
          <w:p w:rsidR="000A10B5" w:rsidRDefault="000A10B5" w:rsidP="000A10B5">
            <w:pPr>
              <w:jc w:val="center"/>
              <w:rPr>
                <w:rFonts w:ascii="Calibri" w:hAnsi="Calibri" w:cs="Calibri"/>
                <w:color w:val="000000"/>
                <w:sz w:val="16"/>
                <w:szCs w:val="16"/>
              </w:rPr>
            </w:pPr>
            <w:r>
              <w:rPr>
                <w:rFonts w:ascii="Calibri" w:hAnsi="Calibri" w:cs="Calibri"/>
                <w:color w:val="000000"/>
                <w:sz w:val="16"/>
                <w:szCs w:val="16"/>
              </w:rPr>
              <w:t>$364,540</w:t>
            </w:r>
          </w:p>
        </w:tc>
        <w:tc>
          <w:tcPr>
            <w:tcW w:w="1680" w:type="dxa"/>
            <w:shd w:val="clear" w:color="auto" w:fill="auto"/>
            <w:noWrap/>
            <w:vAlign w:val="bottom"/>
          </w:tcPr>
          <w:p w:rsidR="000A10B5" w:rsidRPr="003B6A94" w:rsidRDefault="000A10B5" w:rsidP="000A10B5">
            <w:pPr>
              <w:jc w:val="center"/>
              <w:rPr>
                <w:rFonts w:ascii="Calibri" w:hAnsi="Calibri" w:cs="Calibri"/>
                <w:color w:val="000000"/>
                <w:sz w:val="16"/>
                <w:szCs w:val="16"/>
              </w:rPr>
            </w:pPr>
            <w:r w:rsidRPr="003B6A94">
              <w:rPr>
                <w:rFonts w:ascii="Calibri" w:hAnsi="Calibri" w:cs="Calibri"/>
                <w:color w:val="000000"/>
                <w:sz w:val="16"/>
                <w:szCs w:val="16"/>
              </w:rPr>
              <w:t>$176,282</w:t>
            </w:r>
            <w:r w:rsidRPr="00AE13CB">
              <w:rPr>
                <w:rFonts w:ascii="Calibri" w:hAnsi="Calibri" w:cs="Calibri"/>
                <w:b/>
                <w:color w:val="000000"/>
                <w:sz w:val="16"/>
                <w:szCs w:val="16"/>
              </w:rPr>
              <w:t>*</w:t>
            </w:r>
          </w:p>
        </w:tc>
      </w:tr>
      <w:tr w:rsidR="000A10B5" w:rsidRPr="00FF04A1" w:rsidTr="007676FA">
        <w:trPr>
          <w:trHeight w:val="245"/>
          <w:jc w:val="center"/>
        </w:trPr>
        <w:tc>
          <w:tcPr>
            <w:tcW w:w="2340" w:type="dxa"/>
            <w:shd w:val="clear" w:color="auto" w:fill="auto"/>
            <w:noWrap/>
            <w:vAlign w:val="bottom"/>
            <w:hideMark/>
          </w:tcPr>
          <w:p w:rsidR="000A10B5" w:rsidRPr="008E40CF" w:rsidRDefault="000A10B5" w:rsidP="000A10B5">
            <w:pPr>
              <w:rPr>
                <w:rFonts w:ascii="Calibri" w:hAnsi="Calibri" w:cs="Calibri"/>
                <w:color w:val="000000"/>
                <w:sz w:val="16"/>
                <w:szCs w:val="16"/>
              </w:rPr>
            </w:pPr>
            <w:r>
              <w:rPr>
                <w:rFonts w:ascii="Calibri" w:hAnsi="Calibri" w:cs="Calibri"/>
                <w:color w:val="000000"/>
                <w:sz w:val="16"/>
                <w:szCs w:val="16"/>
              </w:rPr>
              <w:t>Bellevue Independent</w:t>
            </w:r>
          </w:p>
        </w:tc>
        <w:tc>
          <w:tcPr>
            <w:tcW w:w="1170" w:type="dxa"/>
            <w:shd w:val="clear" w:color="auto" w:fill="auto"/>
            <w:noWrap/>
            <w:vAlign w:val="bottom"/>
            <w:hideMark/>
          </w:tcPr>
          <w:p w:rsidR="000A10B5" w:rsidRPr="008E40CF" w:rsidRDefault="000A10B5" w:rsidP="000A10B5">
            <w:pPr>
              <w:jc w:val="center"/>
              <w:rPr>
                <w:rFonts w:ascii="Calibri" w:hAnsi="Calibri" w:cs="Calibri"/>
                <w:color w:val="000000"/>
                <w:sz w:val="16"/>
                <w:szCs w:val="16"/>
              </w:rPr>
            </w:pPr>
            <w:r>
              <w:rPr>
                <w:rFonts w:ascii="Calibri" w:hAnsi="Calibri" w:cs="Calibri"/>
                <w:color w:val="000000"/>
                <w:sz w:val="16"/>
                <w:szCs w:val="16"/>
              </w:rPr>
              <w:t>621</w:t>
            </w:r>
          </w:p>
        </w:tc>
        <w:tc>
          <w:tcPr>
            <w:tcW w:w="1715" w:type="dxa"/>
            <w:shd w:val="clear" w:color="auto" w:fill="auto"/>
            <w:noWrap/>
            <w:vAlign w:val="bottom"/>
            <w:hideMark/>
          </w:tcPr>
          <w:p w:rsidR="000A10B5" w:rsidRPr="008E40CF" w:rsidRDefault="000A10B5" w:rsidP="000A10B5">
            <w:pPr>
              <w:jc w:val="center"/>
              <w:rPr>
                <w:rFonts w:ascii="Calibri" w:hAnsi="Calibri" w:cs="Calibri"/>
                <w:color w:val="000000"/>
                <w:sz w:val="16"/>
                <w:szCs w:val="16"/>
              </w:rPr>
            </w:pPr>
            <w:r>
              <w:rPr>
                <w:rFonts w:ascii="Calibri" w:hAnsi="Calibri" w:cs="Calibri"/>
                <w:color w:val="000000"/>
                <w:sz w:val="16"/>
                <w:szCs w:val="16"/>
              </w:rPr>
              <w:t>$430,970,883</w:t>
            </w:r>
          </w:p>
        </w:tc>
        <w:tc>
          <w:tcPr>
            <w:tcW w:w="1600" w:type="dxa"/>
            <w:shd w:val="clear" w:color="auto" w:fill="auto"/>
            <w:noWrap/>
            <w:vAlign w:val="bottom"/>
            <w:hideMark/>
          </w:tcPr>
          <w:p w:rsidR="000A10B5" w:rsidRPr="008E40CF" w:rsidRDefault="000A10B5" w:rsidP="000A10B5">
            <w:pPr>
              <w:jc w:val="center"/>
              <w:rPr>
                <w:rFonts w:ascii="Calibri" w:hAnsi="Calibri" w:cs="Calibri"/>
                <w:color w:val="000000"/>
                <w:sz w:val="16"/>
                <w:szCs w:val="16"/>
              </w:rPr>
            </w:pPr>
            <w:r>
              <w:rPr>
                <w:rFonts w:ascii="Calibri" w:hAnsi="Calibri" w:cs="Calibri"/>
                <w:color w:val="000000"/>
                <w:sz w:val="16"/>
                <w:szCs w:val="16"/>
              </w:rPr>
              <w:t>$215,485</w:t>
            </w:r>
          </w:p>
        </w:tc>
        <w:tc>
          <w:tcPr>
            <w:tcW w:w="1680" w:type="dxa"/>
            <w:shd w:val="clear" w:color="auto" w:fill="auto"/>
            <w:noWrap/>
            <w:vAlign w:val="bottom"/>
            <w:hideMark/>
          </w:tcPr>
          <w:p w:rsidR="000A10B5" w:rsidRPr="003B6A94" w:rsidRDefault="000A10B5" w:rsidP="000A10B5">
            <w:pPr>
              <w:jc w:val="center"/>
              <w:rPr>
                <w:rFonts w:ascii="Calibri" w:hAnsi="Calibri" w:cs="Calibri"/>
                <w:color w:val="000000"/>
                <w:sz w:val="16"/>
                <w:szCs w:val="16"/>
              </w:rPr>
            </w:pPr>
            <w:r w:rsidRPr="003B6A94">
              <w:rPr>
                <w:rFonts w:ascii="Calibri" w:hAnsi="Calibri" w:cs="Calibri"/>
                <w:color w:val="000000"/>
                <w:sz w:val="16"/>
                <w:szCs w:val="16"/>
              </w:rPr>
              <w:t>$14,008</w:t>
            </w:r>
          </w:p>
        </w:tc>
      </w:tr>
      <w:tr w:rsidR="000A10B5" w:rsidRPr="00FF04A1" w:rsidTr="007676FA">
        <w:trPr>
          <w:trHeight w:val="245"/>
          <w:jc w:val="center"/>
        </w:trPr>
        <w:tc>
          <w:tcPr>
            <w:tcW w:w="2340" w:type="dxa"/>
            <w:shd w:val="clear" w:color="auto" w:fill="auto"/>
            <w:noWrap/>
            <w:vAlign w:val="bottom"/>
          </w:tcPr>
          <w:p w:rsidR="000A10B5" w:rsidRPr="008E40CF" w:rsidRDefault="000A10B5" w:rsidP="000A10B5">
            <w:pPr>
              <w:rPr>
                <w:rFonts w:ascii="Calibri" w:hAnsi="Calibri" w:cs="Calibri"/>
                <w:color w:val="000000"/>
                <w:sz w:val="16"/>
                <w:szCs w:val="16"/>
              </w:rPr>
            </w:pPr>
            <w:r>
              <w:rPr>
                <w:rFonts w:ascii="Calibri" w:hAnsi="Calibri" w:cs="Calibri"/>
                <w:sz w:val="16"/>
                <w:szCs w:val="16"/>
              </w:rPr>
              <w:t>Fairview Independent</w:t>
            </w:r>
          </w:p>
        </w:tc>
        <w:tc>
          <w:tcPr>
            <w:tcW w:w="1170" w:type="dxa"/>
            <w:shd w:val="clear" w:color="auto" w:fill="auto"/>
            <w:noWrap/>
            <w:vAlign w:val="bottom"/>
          </w:tcPr>
          <w:p w:rsidR="000A10B5" w:rsidRPr="008E40CF" w:rsidRDefault="000A10B5" w:rsidP="000A10B5">
            <w:pPr>
              <w:jc w:val="center"/>
              <w:rPr>
                <w:rFonts w:ascii="Calibri" w:hAnsi="Calibri" w:cs="Calibri"/>
                <w:color w:val="000000"/>
                <w:sz w:val="16"/>
                <w:szCs w:val="16"/>
              </w:rPr>
            </w:pPr>
            <w:r>
              <w:rPr>
                <w:rFonts w:ascii="Calibri" w:hAnsi="Calibri" w:cs="Calibri"/>
                <w:sz w:val="16"/>
                <w:szCs w:val="16"/>
              </w:rPr>
              <w:t>691</w:t>
            </w:r>
          </w:p>
        </w:tc>
        <w:tc>
          <w:tcPr>
            <w:tcW w:w="1715" w:type="dxa"/>
            <w:shd w:val="clear" w:color="auto" w:fill="auto"/>
            <w:noWrap/>
            <w:vAlign w:val="bottom"/>
          </w:tcPr>
          <w:p w:rsidR="000A10B5" w:rsidRDefault="000A10B5" w:rsidP="000A10B5">
            <w:pPr>
              <w:jc w:val="center"/>
              <w:rPr>
                <w:rFonts w:ascii="Calibri" w:hAnsi="Calibri" w:cs="Calibri"/>
                <w:color w:val="000000"/>
                <w:sz w:val="16"/>
                <w:szCs w:val="16"/>
              </w:rPr>
            </w:pPr>
            <w:r>
              <w:rPr>
                <w:rFonts w:ascii="Calibri" w:hAnsi="Calibri" w:cs="Calibri"/>
                <w:color w:val="000000"/>
                <w:sz w:val="16"/>
                <w:szCs w:val="16"/>
              </w:rPr>
              <w:t>$168,155,262</w:t>
            </w:r>
          </w:p>
        </w:tc>
        <w:tc>
          <w:tcPr>
            <w:tcW w:w="1600" w:type="dxa"/>
            <w:shd w:val="clear" w:color="auto" w:fill="auto"/>
            <w:noWrap/>
            <w:vAlign w:val="bottom"/>
          </w:tcPr>
          <w:p w:rsidR="000A10B5" w:rsidRDefault="000A10B5" w:rsidP="000A10B5">
            <w:pPr>
              <w:jc w:val="center"/>
              <w:rPr>
                <w:rFonts w:ascii="Calibri" w:hAnsi="Calibri" w:cs="Calibri"/>
                <w:color w:val="000000"/>
                <w:sz w:val="16"/>
                <w:szCs w:val="16"/>
              </w:rPr>
            </w:pPr>
            <w:r>
              <w:rPr>
                <w:rFonts w:ascii="Calibri" w:hAnsi="Calibri" w:cs="Calibri"/>
                <w:color w:val="000000"/>
                <w:sz w:val="16"/>
                <w:szCs w:val="16"/>
              </w:rPr>
              <w:t>$84,078</w:t>
            </w:r>
          </w:p>
        </w:tc>
        <w:tc>
          <w:tcPr>
            <w:tcW w:w="1680" w:type="dxa"/>
            <w:shd w:val="clear" w:color="auto" w:fill="auto"/>
            <w:noWrap/>
            <w:vAlign w:val="bottom"/>
          </w:tcPr>
          <w:p w:rsidR="000A10B5" w:rsidRPr="003B6A94" w:rsidRDefault="000A10B5" w:rsidP="000A10B5">
            <w:pPr>
              <w:jc w:val="center"/>
              <w:rPr>
                <w:rFonts w:ascii="Calibri" w:hAnsi="Calibri" w:cs="Calibri"/>
                <w:color w:val="000000"/>
                <w:sz w:val="16"/>
                <w:szCs w:val="16"/>
              </w:rPr>
            </w:pPr>
            <w:r w:rsidRPr="003B6A94">
              <w:rPr>
                <w:rFonts w:ascii="Calibri" w:hAnsi="Calibri" w:cs="Calibri"/>
                <w:color w:val="000000"/>
                <w:sz w:val="16"/>
                <w:szCs w:val="16"/>
              </w:rPr>
              <w:t>$168,282</w:t>
            </w:r>
          </w:p>
        </w:tc>
      </w:tr>
      <w:tr w:rsidR="000A10B5" w:rsidRPr="00FF04A1" w:rsidTr="007676FA">
        <w:trPr>
          <w:trHeight w:val="245"/>
          <w:jc w:val="center"/>
        </w:trPr>
        <w:tc>
          <w:tcPr>
            <w:tcW w:w="2340" w:type="dxa"/>
            <w:shd w:val="clear" w:color="auto" w:fill="auto"/>
            <w:noWrap/>
            <w:vAlign w:val="bottom"/>
            <w:hideMark/>
          </w:tcPr>
          <w:p w:rsidR="000A10B5" w:rsidRPr="008E40CF" w:rsidRDefault="000A10B5" w:rsidP="000A10B5">
            <w:pPr>
              <w:rPr>
                <w:rFonts w:ascii="Calibri" w:hAnsi="Calibri" w:cs="Calibri"/>
                <w:color w:val="000000"/>
                <w:sz w:val="16"/>
                <w:szCs w:val="16"/>
              </w:rPr>
            </w:pPr>
            <w:r>
              <w:rPr>
                <w:rFonts w:ascii="Calibri" w:hAnsi="Calibri" w:cs="Calibri"/>
                <w:sz w:val="16"/>
                <w:szCs w:val="16"/>
              </w:rPr>
              <w:t>Hancock County</w:t>
            </w:r>
          </w:p>
        </w:tc>
        <w:tc>
          <w:tcPr>
            <w:tcW w:w="1170" w:type="dxa"/>
            <w:shd w:val="clear" w:color="auto" w:fill="auto"/>
            <w:noWrap/>
            <w:vAlign w:val="bottom"/>
            <w:hideMark/>
          </w:tcPr>
          <w:p w:rsidR="000A10B5" w:rsidRPr="008E40CF" w:rsidRDefault="000A10B5" w:rsidP="000A10B5">
            <w:pPr>
              <w:jc w:val="center"/>
              <w:rPr>
                <w:rFonts w:ascii="Calibri" w:hAnsi="Calibri" w:cs="Calibri"/>
                <w:color w:val="000000"/>
                <w:sz w:val="16"/>
                <w:szCs w:val="16"/>
              </w:rPr>
            </w:pPr>
            <w:r>
              <w:rPr>
                <w:rFonts w:ascii="Calibri" w:hAnsi="Calibri" w:cs="Calibri"/>
                <w:sz w:val="16"/>
                <w:szCs w:val="16"/>
              </w:rPr>
              <w:t>1,655</w:t>
            </w:r>
          </w:p>
        </w:tc>
        <w:tc>
          <w:tcPr>
            <w:tcW w:w="1715" w:type="dxa"/>
            <w:shd w:val="clear" w:color="auto" w:fill="auto"/>
            <w:noWrap/>
            <w:vAlign w:val="bottom"/>
            <w:hideMark/>
          </w:tcPr>
          <w:p w:rsidR="000A10B5" w:rsidRPr="008E40CF" w:rsidRDefault="000A10B5" w:rsidP="000A10B5">
            <w:pPr>
              <w:jc w:val="center"/>
              <w:rPr>
                <w:rFonts w:ascii="Calibri" w:hAnsi="Calibri" w:cs="Calibri"/>
                <w:color w:val="000000"/>
                <w:sz w:val="16"/>
                <w:szCs w:val="16"/>
              </w:rPr>
            </w:pPr>
            <w:r>
              <w:rPr>
                <w:rFonts w:ascii="Calibri" w:hAnsi="Calibri" w:cs="Calibri"/>
                <w:color w:val="000000"/>
                <w:sz w:val="16"/>
                <w:szCs w:val="16"/>
              </w:rPr>
              <w:t>$936,487,345</w:t>
            </w:r>
          </w:p>
        </w:tc>
        <w:tc>
          <w:tcPr>
            <w:tcW w:w="1600" w:type="dxa"/>
            <w:shd w:val="clear" w:color="auto" w:fill="auto"/>
            <w:noWrap/>
            <w:vAlign w:val="bottom"/>
            <w:hideMark/>
          </w:tcPr>
          <w:p w:rsidR="000A10B5" w:rsidRPr="008E40CF" w:rsidRDefault="000A10B5" w:rsidP="000A10B5">
            <w:pPr>
              <w:jc w:val="center"/>
              <w:rPr>
                <w:rFonts w:ascii="Calibri" w:hAnsi="Calibri" w:cs="Calibri"/>
                <w:color w:val="000000"/>
                <w:sz w:val="16"/>
                <w:szCs w:val="16"/>
              </w:rPr>
            </w:pPr>
            <w:r>
              <w:rPr>
                <w:rFonts w:ascii="Calibri" w:hAnsi="Calibri" w:cs="Calibri"/>
                <w:color w:val="000000"/>
                <w:sz w:val="16"/>
                <w:szCs w:val="16"/>
              </w:rPr>
              <w:t>$468,244</w:t>
            </w:r>
          </w:p>
        </w:tc>
        <w:tc>
          <w:tcPr>
            <w:tcW w:w="1680" w:type="dxa"/>
            <w:shd w:val="clear" w:color="auto" w:fill="auto"/>
            <w:noWrap/>
            <w:vAlign w:val="bottom"/>
            <w:hideMark/>
          </w:tcPr>
          <w:p w:rsidR="000A10B5" w:rsidRPr="003B6A94" w:rsidRDefault="000A10B5" w:rsidP="000A10B5">
            <w:pPr>
              <w:jc w:val="center"/>
              <w:rPr>
                <w:rFonts w:ascii="Calibri" w:hAnsi="Calibri" w:cs="Calibri"/>
                <w:color w:val="000000"/>
                <w:sz w:val="16"/>
                <w:szCs w:val="16"/>
              </w:rPr>
            </w:pPr>
            <w:r w:rsidRPr="003B6A94">
              <w:rPr>
                <w:rFonts w:ascii="Calibri" w:hAnsi="Calibri" w:cs="Calibri"/>
                <w:color w:val="000000"/>
                <w:sz w:val="16"/>
                <w:szCs w:val="16"/>
              </w:rPr>
              <w:t>$142,670</w:t>
            </w:r>
          </w:p>
        </w:tc>
      </w:tr>
      <w:tr w:rsidR="000A10B5" w:rsidRPr="00FF04A1" w:rsidTr="007676FA">
        <w:trPr>
          <w:trHeight w:val="245"/>
          <w:jc w:val="center"/>
        </w:trPr>
        <w:tc>
          <w:tcPr>
            <w:tcW w:w="2340" w:type="dxa"/>
            <w:shd w:val="clear" w:color="auto" w:fill="auto"/>
            <w:noWrap/>
            <w:vAlign w:val="bottom"/>
          </w:tcPr>
          <w:p w:rsidR="000A10B5" w:rsidRPr="008E40CF" w:rsidRDefault="000A10B5" w:rsidP="000A10B5">
            <w:pPr>
              <w:rPr>
                <w:rFonts w:ascii="Calibri" w:hAnsi="Calibri" w:cs="Calibri"/>
                <w:color w:val="000000"/>
                <w:sz w:val="16"/>
                <w:szCs w:val="16"/>
              </w:rPr>
            </w:pPr>
            <w:r>
              <w:rPr>
                <w:rFonts w:ascii="Calibri" w:hAnsi="Calibri" w:cs="Calibri"/>
                <w:sz w:val="16"/>
                <w:szCs w:val="16"/>
              </w:rPr>
              <w:t>Johnson County</w:t>
            </w:r>
          </w:p>
        </w:tc>
        <w:tc>
          <w:tcPr>
            <w:tcW w:w="1170" w:type="dxa"/>
            <w:shd w:val="clear" w:color="auto" w:fill="auto"/>
            <w:noWrap/>
            <w:vAlign w:val="bottom"/>
          </w:tcPr>
          <w:p w:rsidR="000A10B5" w:rsidRPr="008E40CF" w:rsidRDefault="000A10B5" w:rsidP="000A10B5">
            <w:pPr>
              <w:jc w:val="center"/>
              <w:rPr>
                <w:rFonts w:ascii="Calibri" w:hAnsi="Calibri" w:cs="Calibri"/>
                <w:color w:val="000000"/>
                <w:sz w:val="16"/>
                <w:szCs w:val="16"/>
              </w:rPr>
            </w:pPr>
            <w:r>
              <w:rPr>
                <w:rFonts w:ascii="Calibri" w:hAnsi="Calibri" w:cs="Calibri"/>
                <w:sz w:val="16"/>
                <w:szCs w:val="16"/>
              </w:rPr>
              <w:t>3,451</w:t>
            </w:r>
          </w:p>
        </w:tc>
        <w:tc>
          <w:tcPr>
            <w:tcW w:w="1715" w:type="dxa"/>
            <w:shd w:val="clear" w:color="auto" w:fill="auto"/>
            <w:noWrap/>
            <w:vAlign w:val="bottom"/>
          </w:tcPr>
          <w:p w:rsidR="000A10B5" w:rsidRPr="008E40CF" w:rsidRDefault="000A10B5" w:rsidP="000A10B5">
            <w:pPr>
              <w:jc w:val="center"/>
              <w:rPr>
                <w:rFonts w:ascii="Calibri" w:hAnsi="Calibri" w:cs="Calibri"/>
                <w:color w:val="000000"/>
                <w:sz w:val="16"/>
                <w:szCs w:val="16"/>
              </w:rPr>
            </w:pPr>
            <w:r>
              <w:rPr>
                <w:rFonts w:ascii="Calibri" w:hAnsi="Calibri" w:cs="Calibri"/>
                <w:color w:val="000000"/>
                <w:sz w:val="16"/>
                <w:szCs w:val="16"/>
              </w:rPr>
              <w:t>$861,867,847</w:t>
            </w:r>
          </w:p>
        </w:tc>
        <w:tc>
          <w:tcPr>
            <w:tcW w:w="1600" w:type="dxa"/>
            <w:shd w:val="clear" w:color="auto" w:fill="auto"/>
            <w:noWrap/>
            <w:vAlign w:val="bottom"/>
          </w:tcPr>
          <w:p w:rsidR="000A10B5" w:rsidRPr="008E40CF" w:rsidRDefault="000A10B5" w:rsidP="000A10B5">
            <w:pPr>
              <w:jc w:val="center"/>
              <w:rPr>
                <w:rFonts w:ascii="Calibri" w:hAnsi="Calibri" w:cs="Calibri"/>
                <w:color w:val="000000"/>
                <w:sz w:val="16"/>
                <w:szCs w:val="16"/>
              </w:rPr>
            </w:pPr>
            <w:r>
              <w:rPr>
                <w:rFonts w:ascii="Calibri" w:hAnsi="Calibri" w:cs="Calibri"/>
                <w:color w:val="000000"/>
                <w:sz w:val="16"/>
                <w:szCs w:val="16"/>
              </w:rPr>
              <w:t>$430,934</w:t>
            </w:r>
          </w:p>
        </w:tc>
        <w:tc>
          <w:tcPr>
            <w:tcW w:w="1680" w:type="dxa"/>
            <w:shd w:val="clear" w:color="auto" w:fill="auto"/>
            <w:noWrap/>
            <w:vAlign w:val="bottom"/>
          </w:tcPr>
          <w:p w:rsidR="000A10B5" w:rsidRPr="003B6A94" w:rsidRDefault="000A10B5" w:rsidP="000A10B5">
            <w:pPr>
              <w:jc w:val="center"/>
              <w:rPr>
                <w:rFonts w:ascii="Calibri" w:hAnsi="Calibri" w:cs="Calibri"/>
                <w:color w:val="000000"/>
                <w:sz w:val="16"/>
                <w:szCs w:val="16"/>
              </w:rPr>
            </w:pPr>
            <w:r w:rsidRPr="003B6A94">
              <w:rPr>
                <w:rFonts w:ascii="Calibri" w:hAnsi="Calibri" w:cs="Calibri"/>
                <w:color w:val="000000"/>
                <w:sz w:val="16"/>
                <w:szCs w:val="16"/>
              </w:rPr>
              <w:t>$861,276</w:t>
            </w:r>
          </w:p>
        </w:tc>
      </w:tr>
      <w:tr w:rsidR="00647E6A" w:rsidRPr="00FF04A1" w:rsidTr="007676FA">
        <w:trPr>
          <w:trHeight w:val="245"/>
          <w:jc w:val="center"/>
        </w:trPr>
        <w:tc>
          <w:tcPr>
            <w:tcW w:w="2340" w:type="dxa"/>
            <w:shd w:val="clear" w:color="auto" w:fill="auto"/>
            <w:noWrap/>
            <w:vAlign w:val="bottom"/>
          </w:tcPr>
          <w:p w:rsidR="00647E6A" w:rsidRDefault="00647E6A" w:rsidP="000A10B5">
            <w:pPr>
              <w:rPr>
                <w:rFonts w:ascii="Calibri" w:hAnsi="Calibri" w:cs="Calibri"/>
                <w:sz w:val="16"/>
                <w:szCs w:val="16"/>
              </w:rPr>
            </w:pPr>
            <w:r>
              <w:rPr>
                <w:rFonts w:ascii="Calibri" w:hAnsi="Calibri" w:cs="Calibri"/>
                <w:sz w:val="16"/>
                <w:szCs w:val="16"/>
              </w:rPr>
              <w:t>Powell County</w:t>
            </w:r>
          </w:p>
        </w:tc>
        <w:tc>
          <w:tcPr>
            <w:tcW w:w="1170" w:type="dxa"/>
            <w:shd w:val="clear" w:color="auto" w:fill="auto"/>
            <w:noWrap/>
            <w:vAlign w:val="bottom"/>
          </w:tcPr>
          <w:p w:rsidR="00647E6A" w:rsidRDefault="00647E6A" w:rsidP="000A10B5">
            <w:pPr>
              <w:jc w:val="center"/>
              <w:rPr>
                <w:rFonts w:ascii="Calibri" w:hAnsi="Calibri" w:cs="Calibri"/>
                <w:sz w:val="16"/>
                <w:szCs w:val="16"/>
              </w:rPr>
            </w:pPr>
            <w:r>
              <w:rPr>
                <w:rFonts w:ascii="Calibri" w:hAnsi="Calibri" w:cs="Calibri"/>
                <w:sz w:val="16"/>
                <w:szCs w:val="16"/>
              </w:rPr>
              <w:t>2052</w:t>
            </w:r>
          </w:p>
        </w:tc>
        <w:tc>
          <w:tcPr>
            <w:tcW w:w="1715" w:type="dxa"/>
            <w:shd w:val="clear" w:color="auto" w:fill="auto"/>
            <w:noWrap/>
            <w:vAlign w:val="bottom"/>
          </w:tcPr>
          <w:p w:rsidR="00647E6A" w:rsidRDefault="00647E6A" w:rsidP="000A10B5">
            <w:pPr>
              <w:jc w:val="center"/>
              <w:rPr>
                <w:rFonts w:ascii="Calibri" w:hAnsi="Calibri" w:cs="Calibri"/>
                <w:color w:val="000000"/>
                <w:sz w:val="16"/>
                <w:szCs w:val="16"/>
              </w:rPr>
            </w:pPr>
            <w:r>
              <w:rPr>
                <w:rFonts w:ascii="Calibri" w:hAnsi="Calibri" w:cs="Calibri"/>
                <w:color w:val="000000"/>
                <w:sz w:val="16"/>
                <w:szCs w:val="16"/>
              </w:rPr>
              <w:t>$724,549,654</w:t>
            </w:r>
          </w:p>
        </w:tc>
        <w:tc>
          <w:tcPr>
            <w:tcW w:w="1600" w:type="dxa"/>
            <w:shd w:val="clear" w:color="auto" w:fill="auto"/>
            <w:noWrap/>
            <w:vAlign w:val="bottom"/>
          </w:tcPr>
          <w:p w:rsidR="00647E6A" w:rsidRDefault="00647E6A" w:rsidP="000A10B5">
            <w:pPr>
              <w:jc w:val="center"/>
              <w:rPr>
                <w:rFonts w:ascii="Calibri" w:hAnsi="Calibri" w:cs="Calibri"/>
                <w:color w:val="000000"/>
                <w:sz w:val="16"/>
                <w:szCs w:val="16"/>
              </w:rPr>
            </w:pPr>
            <w:r>
              <w:rPr>
                <w:rFonts w:ascii="Calibri" w:hAnsi="Calibri" w:cs="Calibri"/>
                <w:color w:val="000000"/>
                <w:sz w:val="16"/>
                <w:szCs w:val="16"/>
              </w:rPr>
              <w:t>$362,275</w:t>
            </w:r>
          </w:p>
        </w:tc>
        <w:tc>
          <w:tcPr>
            <w:tcW w:w="1680" w:type="dxa"/>
            <w:shd w:val="clear" w:color="auto" w:fill="auto"/>
            <w:noWrap/>
            <w:vAlign w:val="bottom"/>
          </w:tcPr>
          <w:p w:rsidR="00647E6A" w:rsidRPr="003B6A94" w:rsidRDefault="00647E6A" w:rsidP="00647E6A">
            <w:pPr>
              <w:jc w:val="center"/>
              <w:rPr>
                <w:rFonts w:ascii="Calibri" w:hAnsi="Calibri" w:cs="Calibri"/>
                <w:color w:val="000000"/>
                <w:sz w:val="16"/>
                <w:szCs w:val="16"/>
              </w:rPr>
            </w:pPr>
            <w:r>
              <w:rPr>
                <w:rFonts w:ascii="Calibri" w:hAnsi="Calibri" w:cs="Calibri"/>
                <w:color w:val="000000"/>
                <w:sz w:val="16"/>
                <w:szCs w:val="16"/>
              </w:rPr>
              <w:t>$451,896**</w:t>
            </w:r>
          </w:p>
        </w:tc>
      </w:tr>
      <w:tr w:rsidR="000A10B5" w:rsidRPr="00FF04A1" w:rsidTr="007676FA">
        <w:trPr>
          <w:trHeight w:val="245"/>
          <w:jc w:val="center"/>
        </w:trPr>
        <w:tc>
          <w:tcPr>
            <w:tcW w:w="2340" w:type="dxa"/>
            <w:shd w:val="clear" w:color="auto" w:fill="auto"/>
            <w:noWrap/>
            <w:vAlign w:val="bottom"/>
          </w:tcPr>
          <w:p w:rsidR="000A10B5" w:rsidRPr="008E40CF" w:rsidRDefault="000A10B5" w:rsidP="000A10B5">
            <w:pPr>
              <w:rPr>
                <w:rFonts w:ascii="Calibri" w:hAnsi="Calibri" w:cs="Calibri"/>
                <w:sz w:val="16"/>
                <w:szCs w:val="16"/>
              </w:rPr>
            </w:pPr>
            <w:r w:rsidRPr="00B11A5A">
              <w:rPr>
                <w:rFonts w:ascii="Calibri" w:hAnsi="Calibri" w:cs="Calibri"/>
                <w:b/>
                <w:bCs/>
                <w:sz w:val="16"/>
                <w:szCs w:val="16"/>
              </w:rPr>
              <w:t>TOTALS</w:t>
            </w:r>
          </w:p>
        </w:tc>
        <w:tc>
          <w:tcPr>
            <w:tcW w:w="1170" w:type="dxa"/>
            <w:shd w:val="clear" w:color="auto" w:fill="auto"/>
            <w:noWrap/>
            <w:vAlign w:val="bottom"/>
          </w:tcPr>
          <w:p w:rsidR="000A10B5" w:rsidRPr="008E40CF" w:rsidRDefault="000A10B5" w:rsidP="000A10B5">
            <w:pPr>
              <w:jc w:val="center"/>
              <w:rPr>
                <w:rFonts w:ascii="Calibri" w:hAnsi="Calibri" w:cs="Calibri"/>
                <w:sz w:val="16"/>
                <w:szCs w:val="16"/>
              </w:rPr>
            </w:pPr>
            <w:r>
              <w:rPr>
                <w:rFonts w:ascii="Calibri" w:hAnsi="Calibri" w:cs="Calibri"/>
                <w:b/>
                <w:bCs/>
                <w:color w:val="000000"/>
                <w:sz w:val="16"/>
                <w:szCs w:val="16"/>
              </w:rPr>
              <w:t>11,730</w:t>
            </w:r>
          </w:p>
        </w:tc>
        <w:tc>
          <w:tcPr>
            <w:tcW w:w="1715" w:type="dxa"/>
            <w:shd w:val="clear" w:color="auto" w:fill="auto"/>
            <w:noWrap/>
            <w:vAlign w:val="bottom"/>
          </w:tcPr>
          <w:p w:rsidR="000A10B5" w:rsidRPr="008E40CF" w:rsidRDefault="000A10B5" w:rsidP="0014244F">
            <w:pPr>
              <w:jc w:val="center"/>
              <w:rPr>
                <w:rFonts w:ascii="Calibri" w:hAnsi="Calibri" w:cs="Calibri"/>
                <w:color w:val="000000"/>
                <w:sz w:val="16"/>
                <w:szCs w:val="16"/>
              </w:rPr>
            </w:pPr>
            <w:r w:rsidRPr="00692523">
              <w:rPr>
                <w:rFonts w:ascii="Calibri" w:hAnsi="Calibri" w:cs="Calibri"/>
                <w:b/>
                <w:bCs/>
                <w:color w:val="000000"/>
                <w:sz w:val="16"/>
                <w:szCs w:val="16"/>
              </w:rPr>
              <w:t>$4,</w:t>
            </w:r>
            <w:r>
              <w:rPr>
                <w:rFonts w:ascii="Calibri" w:hAnsi="Calibri" w:cs="Calibri"/>
                <w:b/>
                <w:bCs/>
                <w:color w:val="000000"/>
                <w:sz w:val="16"/>
                <w:szCs w:val="16"/>
              </w:rPr>
              <w:t>425</w:t>
            </w:r>
            <w:r w:rsidRPr="00692523">
              <w:rPr>
                <w:rFonts w:ascii="Calibri" w:hAnsi="Calibri" w:cs="Calibri"/>
                <w:b/>
                <w:bCs/>
                <w:color w:val="000000"/>
                <w:sz w:val="16"/>
                <w:szCs w:val="16"/>
              </w:rPr>
              <w:t>,</w:t>
            </w:r>
            <w:r w:rsidR="0014244F">
              <w:rPr>
                <w:rFonts w:ascii="Calibri" w:hAnsi="Calibri" w:cs="Calibri"/>
                <w:b/>
                <w:bCs/>
                <w:color w:val="000000"/>
                <w:sz w:val="16"/>
                <w:szCs w:val="16"/>
              </w:rPr>
              <w:t>544</w:t>
            </w:r>
            <w:r>
              <w:rPr>
                <w:rFonts w:ascii="Calibri" w:hAnsi="Calibri" w:cs="Calibri"/>
                <w:b/>
                <w:bCs/>
                <w:color w:val="000000"/>
                <w:sz w:val="16"/>
                <w:szCs w:val="16"/>
              </w:rPr>
              <w:t>,</w:t>
            </w:r>
            <w:r w:rsidR="0014244F">
              <w:rPr>
                <w:rFonts w:ascii="Calibri" w:hAnsi="Calibri" w:cs="Calibri"/>
                <w:b/>
                <w:bCs/>
                <w:color w:val="000000"/>
                <w:sz w:val="16"/>
                <w:szCs w:val="16"/>
              </w:rPr>
              <w:t>412</w:t>
            </w:r>
          </w:p>
        </w:tc>
        <w:tc>
          <w:tcPr>
            <w:tcW w:w="1600" w:type="dxa"/>
            <w:shd w:val="clear" w:color="auto" w:fill="auto"/>
            <w:noWrap/>
            <w:vAlign w:val="bottom"/>
          </w:tcPr>
          <w:p w:rsidR="000A10B5" w:rsidRPr="008E40CF" w:rsidRDefault="000A10B5" w:rsidP="0014244F">
            <w:pPr>
              <w:jc w:val="center"/>
              <w:rPr>
                <w:rFonts w:ascii="Calibri" w:hAnsi="Calibri" w:cs="Calibri"/>
                <w:color w:val="000000"/>
                <w:sz w:val="16"/>
                <w:szCs w:val="16"/>
              </w:rPr>
            </w:pPr>
            <w:r w:rsidRPr="003B6A94">
              <w:rPr>
                <w:rFonts w:ascii="Calibri" w:hAnsi="Calibri" w:cs="Calibri"/>
                <w:b/>
                <w:bCs/>
                <w:color w:val="000000"/>
                <w:sz w:val="16"/>
                <w:szCs w:val="16"/>
              </w:rPr>
              <w:t>$2,</w:t>
            </w:r>
            <w:r w:rsidR="0014244F">
              <w:rPr>
                <w:rFonts w:ascii="Calibri" w:hAnsi="Calibri" w:cs="Calibri"/>
                <w:b/>
                <w:bCs/>
                <w:color w:val="000000"/>
                <w:sz w:val="16"/>
                <w:szCs w:val="16"/>
              </w:rPr>
              <w:t>212</w:t>
            </w:r>
            <w:r w:rsidRPr="003B6A94">
              <w:rPr>
                <w:rFonts w:ascii="Calibri" w:hAnsi="Calibri" w:cs="Calibri"/>
                <w:b/>
                <w:bCs/>
                <w:color w:val="000000"/>
                <w:sz w:val="16"/>
                <w:szCs w:val="16"/>
              </w:rPr>
              <w:t>,</w:t>
            </w:r>
            <w:r w:rsidR="0014244F">
              <w:rPr>
                <w:rFonts w:ascii="Calibri" w:hAnsi="Calibri" w:cs="Calibri"/>
                <w:b/>
                <w:bCs/>
                <w:color w:val="000000"/>
                <w:sz w:val="16"/>
                <w:szCs w:val="16"/>
              </w:rPr>
              <w:t>773</w:t>
            </w:r>
          </w:p>
        </w:tc>
        <w:tc>
          <w:tcPr>
            <w:tcW w:w="1680" w:type="dxa"/>
            <w:shd w:val="clear" w:color="auto" w:fill="auto"/>
            <w:noWrap/>
            <w:vAlign w:val="bottom"/>
          </w:tcPr>
          <w:p w:rsidR="000A10B5" w:rsidRPr="003B6A94" w:rsidRDefault="000A10B5" w:rsidP="00647E6A">
            <w:pPr>
              <w:jc w:val="center"/>
              <w:rPr>
                <w:rFonts w:ascii="Calibri" w:hAnsi="Calibri" w:cs="Calibri"/>
                <w:color w:val="000000"/>
                <w:sz w:val="16"/>
                <w:szCs w:val="16"/>
              </w:rPr>
            </w:pPr>
            <w:r w:rsidRPr="00B11A5A">
              <w:rPr>
                <w:rFonts w:ascii="Calibri" w:hAnsi="Calibri" w:cs="Calibri"/>
                <w:b/>
                <w:bCs/>
                <w:color w:val="000000"/>
                <w:sz w:val="16"/>
                <w:szCs w:val="16"/>
              </w:rPr>
              <w:t>$</w:t>
            </w:r>
            <w:r w:rsidR="00647E6A">
              <w:rPr>
                <w:rFonts w:ascii="Calibri" w:hAnsi="Calibri" w:cs="Calibri"/>
                <w:b/>
                <w:bCs/>
                <w:color w:val="000000"/>
                <w:sz w:val="16"/>
                <w:szCs w:val="16"/>
              </w:rPr>
              <w:t>1,888,815</w:t>
            </w:r>
          </w:p>
        </w:tc>
      </w:tr>
    </w:tbl>
    <w:p w:rsidR="00FF04A1" w:rsidRPr="00FF04A1" w:rsidRDefault="00FF04A1" w:rsidP="00FF04A1">
      <w:pPr>
        <w:rPr>
          <w:sz w:val="16"/>
          <w:szCs w:val="16"/>
        </w:rPr>
      </w:pPr>
    </w:p>
    <w:p w:rsidR="00974D25" w:rsidRDefault="00974D25" w:rsidP="00E3437F">
      <w:pPr>
        <w:rPr>
          <w:b/>
          <w:sz w:val="20"/>
          <w:szCs w:val="20"/>
          <w:u w:val="single"/>
        </w:rPr>
      </w:pPr>
      <w:r w:rsidRPr="004035E6">
        <w:rPr>
          <w:b/>
          <w:sz w:val="20"/>
          <w:szCs w:val="20"/>
        </w:rPr>
        <w:t xml:space="preserve">1.  </w:t>
      </w:r>
      <w:r w:rsidRPr="004035E6">
        <w:rPr>
          <w:b/>
          <w:sz w:val="20"/>
          <w:szCs w:val="20"/>
          <w:u w:val="single"/>
        </w:rPr>
        <w:t>We are seeking full equalization of these New Ni</w:t>
      </w:r>
      <w:r w:rsidR="005A002C">
        <w:rPr>
          <w:b/>
          <w:sz w:val="20"/>
          <w:szCs w:val="20"/>
          <w:u w:val="single"/>
        </w:rPr>
        <w:t>ckel Tax Levies in the 20</w:t>
      </w:r>
      <w:r w:rsidR="00CB4A02">
        <w:rPr>
          <w:b/>
          <w:sz w:val="20"/>
          <w:szCs w:val="20"/>
          <w:u w:val="single"/>
        </w:rPr>
        <w:t>20</w:t>
      </w:r>
      <w:r w:rsidR="005A002C">
        <w:rPr>
          <w:b/>
          <w:sz w:val="20"/>
          <w:szCs w:val="20"/>
          <w:u w:val="single"/>
        </w:rPr>
        <w:t>-202</w:t>
      </w:r>
      <w:r w:rsidR="00CB4A02">
        <w:rPr>
          <w:b/>
          <w:sz w:val="20"/>
          <w:szCs w:val="20"/>
          <w:u w:val="single"/>
        </w:rPr>
        <w:t>2</w:t>
      </w:r>
      <w:r w:rsidRPr="004035E6">
        <w:rPr>
          <w:b/>
          <w:sz w:val="20"/>
          <w:szCs w:val="20"/>
          <w:u w:val="single"/>
        </w:rPr>
        <w:t xml:space="preserve"> Fiscal Biennium Budget.</w:t>
      </w:r>
      <w:r w:rsidR="004035E6" w:rsidRPr="004035E6">
        <w:rPr>
          <w:b/>
          <w:sz w:val="20"/>
          <w:szCs w:val="20"/>
          <w:u w:val="single"/>
        </w:rPr>
        <w:t xml:space="preserve">  Full Equalization of th</w:t>
      </w:r>
      <w:r w:rsidR="005A002C">
        <w:rPr>
          <w:b/>
          <w:sz w:val="20"/>
          <w:szCs w:val="20"/>
          <w:u w:val="single"/>
        </w:rPr>
        <w:t>e “new nickels” in the 20</w:t>
      </w:r>
      <w:r w:rsidR="00CB4A02">
        <w:rPr>
          <w:b/>
          <w:sz w:val="20"/>
          <w:szCs w:val="20"/>
          <w:u w:val="single"/>
        </w:rPr>
        <w:t>20</w:t>
      </w:r>
      <w:r w:rsidR="005A002C">
        <w:rPr>
          <w:b/>
          <w:sz w:val="20"/>
          <w:szCs w:val="20"/>
          <w:u w:val="single"/>
        </w:rPr>
        <w:t>-20</w:t>
      </w:r>
      <w:r w:rsidR="00CB4A02">
        <w:rPr>
          <w:b/>
          <w:sz w:val="20"/>
          <w:szCs w:val="20"/>
          <w:u w:val="single"/>
        </w:rPr>
        <w:t>22</w:t>
      </w:r>
      <w:r w:rsidR="004035E6" w:rsidRPr="004035E6">
        <w:rPr>
          <w:b/>
          <w:sz w:val="20"/>
          <w:szCs w:val="20"/>
          <w:u w:val="single"/>
        </w:rPr>
        <w:t xml:space="preserve"> Fiscal B</w:t>
      </w:r>
      <w:r w:rsidR="008E40CF">
        <w:rPr>
          <w:b/>
          <w:sz w:val="20"/>
          <w:szCs w:val="20"/>
          <w:u w:val="single"/>
        </w:rPr>
        <w:t xml:space="preserve">iennium Budget costs </w:t>
      </w:r>
      <w:r w:rsidR="001B02F0">
        <w:rPr>
          <w:b/>
          <w:sz w:val="20"/>
          <w:szCs w:val="20"/>
          <w:u w:val="single"/>
        </w:rPr>
        <w:t>$</w:t>
      </w:r>
      <w:r w:rsidR="00647E6A">
        <w:rPr>
          <w:b/>
          <w:sz w:val="20"/>
          <w:szCs w:val="20"/>
          <w:u w:val="single"/>
        </w:rPr>
        <w:t>1,888,815</w:t>
      </w:r>
      <w:r w:rsidR="004035E6" w:rsidRPr="004035E6">
        <w:rPr>
          <w:b/>
          <w:sz w:val="20"/>
          <w:szCs w:val="20"/>
          <w:u w:val="single"/>
        </w:rPr>
        <w:t>.</w:t>
      </w:r>
    </w:p>
    <w:p w:rsidR="004035E6" w:rsidRDefault="004035E6" w:rsidP="00E3437F">
      <w:pPr>
        <w:rPr>
          <w:b/>
          <w:sz w:val="20"/>
          <w:szCs w:val="20"/>
          <w:u w:val="single"/>
        </w:rPr>
      </w:pPr>
    </w:p>
    <w:p w:rsidR="003D44A8" w:rsidRPr="00405D03" w:rsidRDefault="004035E6" w:rsidP="00E3437F">
      <w:pPr>
        <w:rPr>
          <w:sz w:val="20"/>
          <w:szCs w:val="20"/>
        </w:rPr>
      </w:pPr>
      <w:r>
        <w:rPr>
          <w:sz w:val="20"/>
          <w:szCs w:val="20"/>
        </w:rPr>
        <w:t xml:space="preserve">2.  </w:t>
      </w:r>
      <w:r w:rsidRPr="00405D03">
        <w:rPr>
          <w:sz w:val="20"/>
          <w:szCs w:val="20"/>
        </w:rPr>
        <w:t xml:space="preserve">In the past, the General Assembly has created additional funding sources (local tax rate increases) for facility construction to address specific needs of local school districts.  These local tax rate increases are referred to as Nickel </w:t>
      </w:r>
      <w:r w:rsidR="00B76D97">
        <w:rPr>
          <w:sz w:val="20"/>
          <w:szCs w:val="20"/>
        </w:rPr>
        <w:t>Tax Levies.  T</w:t>
      </w:r>
      <w:r w:rsidRPr="00405D03">
        <w:rPr>
          <w:sz w:val="20"/>
          <w:szCs w:val="20"/>
        </w:rPr>
        <w:t xml:space="preserve">he General Assembly has equalized the locally raised revenue subject to provision of funding.  </w:t>
      </w:r>
    </w:p>
    <w:p w:rsidR="001E6CFF" w:rsidRPr="00405D03" w:rsidRDefault="001E6CFF" w:rsidP="00E3437F">
      <w:pPr>
        <w:rPr>
          <w:sz w:val="20"/>
          <w:szCs w:val="20"/>
        </w:rPr>
      </w:pPr>
    </w:p>
    <w:p w:rsidR="001E6CFF" w:rsidRPr="00405D03" w:rsidRDefault="006817DB" w:rsidP="00E3437F">
      <w:pPr>
        <w:rPr>
          <w:sz w:val="20"/>
          <w:szCs w:val="20"/>
        </w:rPr>
      </w:pPr>
      <w:r w:rsidRPr="00405D03">
        <w:rPr>
          <w:sz w:val="20"/>
          <w:szCs w:val="20"/>
        </w:rPr>
        <w:t>3</w:t>
      </w:r>
      <w:r w:rsidR="001E6CFF" w:rsidRPr="00405D03">
        <w:rPr>
          <w:sz w:val="20"/>
          <w:szCs w:val="20"/>
        </w:rPr>
        <w:t xml:space="preserve">.  </w:t>
      </w:r>
      <w:r w:rsidR="004035E6" w:rsidRPr="00405D03">
        <w:rPr>
          <w:sz w:val="20"/>
          <w:szCs w:val="20"/>
        </w:rPr>
        <w:t>In the 201</w:t>
      </w:r>
      <w:r w:rsidR="00505CE2">
        <w:rPr>
          <w:sz w:val="20"/>
          <w:szCs w:val="20"/>
        </w:rPr>
        <w:t>8</w:t>
      </w:r>
      <w:r w:rsidR="004035E6" w:rsidRPr="00405D03">
        <w:rPr>
          <w:sz w:val="20"/>
          <w:szCs w:val="20"/>
        </w:rPr>
        <w:t>-20</w:t>
      </w:r>
      <w:r w:rsidR="00505CE2">
        <w:rPr>
          <w:sz w:val="20"/>
          <w:szCs w:val="20"/>
        </w:rPr>
        <w:t>20</w:t>
      </w:r>
      <w:r w:rsidR="004035E6" w:rsidRPr="00405D03">
        <w:rPr>
          <w:sz w:val="20"/>
          <w:szCs w:val="20"/>
        </w:rPr>
        <w:t xml:space="preserve"> Fiscal Biennium Budget, “new nickels” were equalized 25% for both biennium years, with the intent to fully equalize them in the 20</w:t>
      </w:r>
      <w:r w:rsidR="00505CE2">
        <w:rPr>
          <w:sz w:val="20"/>
          <w:szCs w:val="20"/>
        </w:rPr>
        <w:t>20</w:t>
      </w:r>
      <w:r w:rsidR="004035E6" w:rsidRPr="00405D03">
        <w:rPr>
          <w:sz w:val="20"/>
          <w:szCs w:val="20"/>
        </w:rPr>
        <w:t>-20</w:t>
      </w:r>
      <w:r w:rsidR="00505CE2">
        <w:rPr>
          <w:sz w:val="20"/>
          <w:szCs w:val="20"/>
        </w:rPr>
        <w:t>22</w:t>
      </w:r>
      <w:r w:rsidR="004035E6" w:rsidRPr="00405D03">
        <w:rPr>
          <w:sz w:val="20"/>
          <w:szCs w:val="20"/>
        </w:rPr>
        <w:t xml:space="preserve"> Fiscal Biennium Budget and thereafter.  Prior to the 201</w:t>
      </w:r>
      <w:r w:rsidR="00505CE2">
        <w:rPr>
          <w:sz w:val="20"/>
          <w:szCs w:val="20"/>
        </w:rPr>
        <w:t>6</w:t>
      </w:r>
      <w:bookmarkStart w:id="0" w:name="_GoBack"/>
      <w:bookmarkEnd w:id="0"/>
      <w:r w:rsidR="004035E6" w:rsidRPr="00405D03">
        <w:rPr>
          <w:sz w:val="20"/>
          <w:szCs w:val="20"/>
        </w:rPr>
        <w:t>-201</w:t>
      </w:r>
      <w:r w:rsidR="00505CE2">
        <w:rPr>
          <w:sz w:val="20"/>
          <w:szCs w:val="20"/>
        </w:rPr>
        <w:t>8</w:t>
      </w:r>
      <w:r w:rsidR="004035E6" w:rsidRPr="00405D03">
        <w:rPr>
          <w:sz w:val="20"/>
          <w:szCs w:val="20"/>
        </w:rPr>
        <w:t xml:space="preserve"> Fiscal Biennium Budget, “new nickels” were equalized 25% for the first year, 50% for the next year, with the intent to fully equalize them in the following Fiscal Biennium Budgets and thereafter.</w:t>
      </w:r>
    </w:p>
    <w:p w:rsidR="006C0D67" w:rsidRPr="00405D03" w:rsidRDefault="006C0D67" w:rsidP="00E3437F">
      <w:pPr>
        <w:rPr>
          <w:sz w:val="20"/>
          <w:szCs w:val="20"/>
        </w:rPr>
      </w:pPr>
    </w:p>
    <w:p w:rsidR="006C0D67" w:rsidRPr="00405D03" w:rsidRDefault="006817DB" w:rsidP="00E3437F">
      <w:pPr>
        <w:rPr>
          <w:sz w:val="20"/>
          <w:szCs w:val="20"/>
        </w:rPr>
      </w:pPr>
      <w:r w:rsidRPr="00405D03">
        <w:rPr>
          <w:sz w:val="20"/>
          <w:szCs w:val="20"/>
        </w:rPr>
        <w:t>4</w:t>
      </w:r>
      <w:r w:rsidR="00974D25" w:rsidRPr="00405D03">
        <w:rPr>
          <w:sz w:val="20"/>
          <w:szCs w:val="20"/>
        </w:rPr>
        <w:t>.  Revenue</w:t>
      </w:r>
      <w:r w:rsidR="006C0D67" w:rsidRPr="00405D03">
        <w:rPr>
          <w:sz w:val="20"/>
          <w:szCs w:val="20"/>
        </w:rPr>
        <w:t xml:space="preserve"> from the “new nickels”</w:t>
      </w:r>
      <w:r w:rsidR="00F35B42" w:rsidRPr="00405D03">
        <w:rPr>
          <w:sz w:val="20"/>
          <w:szCs w:val="20"/>
        </w:rPr>
        <w:t xml:space="preserve"> have been designated</w:t>
      </w:r>
      <w:r w:rsidR="006C0D67" w:rsidRPr="00405D03">
        <w:rPr>
          <w:sz w:val="20"/>
          <w:szCs w:val="20"/>
        </w:rPr>
        <w:t xml:space="preserve"> to fund the following projects: one</w:t>
      </w:r>
      <w:r w:rsidR="003B416D" w:rsidRPr="00405D03">
        <w:rPr>
          <w:sz w:val="20"/>
          <w:szCs w:val="20"/>
        </w:rPr>
        <w:t xml:space="preserve"> new area technology center, two</w:t>
      </w:r>
      <w:r w:rsidR="006C0D67" w:rsidRPr="00405D03">
        <w:rPr>
          <w:sz w:val="20"/>
          <w:szCs w:val="20"/>
        </w:rPr>
        <w:t xml:space="preserve"> new high school</w:t>
      </w:r>
      <w:r w:rsidR="003B416D" w:rsidRPr="00405D03">
        <w:rPr>
          <w:sz w:val="20"/>
          <w:szCs w:val="20"/>
        </w:rPr>
        <w:t>s</w:t>
      </w:r>
      <w:r w:rsidR="006C0D67" w:rsidRPr="00405D03">
        <w:rPr>
          <w:sz w:val="20"/>
          <w:szCs w:val="20"/>
        </w:rPr>
        <w:t xml:space="preserve">, </w:t>
      </w:r>
      <w:r w:rsidR="00640812" w:rsidRPr="00405D03">
        <w:rPr>
          <w:sz w:val="20"/>
          <w:szCs w:val="20"/>
        </w:rPr>
        <w:t>two new middle schools, five</w:t>
      </w:r>
      <w:r w:rsidR="006C0D67" w:rsidRPr="00405D03">
        <w:rPr>
          <w:sz w:val="20"/>
          <w:szCs w:val="20"/>
        </w:rPr>
        <w:t xml:space="preserve"> new elementary schools, </w:t>
      </w:r>
      <w:r w:rsidR="00974D25" w:rsidRPr="00405D03">
        <w:rPr>
          <w:sz w:val="20"/>
          <w:szCs w:val="20"/>
        </w:rPr>
        <w:t xml:space="preserve">as well as </w:t>
      </w:r>
      <w:r w:rsidR="006C0D67" w:rsidRPr="00405D03">
        <w:rPr>
          <w:sz w:val="20"/>
          <w:szCs w:val="20"/>
        </w:rPr>
        <w:t xml:space="preserve">HVAC, lighting and </w:t>
      </w:r>
      <w:r w:rsidR="00640812" w:rsidRPr="00405D03">
        <w:rPr>
          <w:sz w:val="20"/>
          <w:szCs w:val="20"/>
        </w:rPr>
        <w:t>bathroom upgrades in more than 4</w:t>
      </w:r>
      <w:r w:rsidR="006C0D67" w:rsidRPr="00405D03">
        <w:rPr>
          <w:sz w:val="20"/>
          <w:szCs w:val="20"/>
        </w:rPr>
        <w:t>0 schools.</w:t>
      </w:r>
      <w:r w:rsidR="00F35B42" w:rsidRPr="00405D03">
        <w:rPr>
          <w:sz w:val="20"/>
          <w:szCs w:val="20"/>
        </w:rPr>
        <w:t xml:space="preserve">  Additional projects will be initiated based on the level of “new nickel” equalization.</w:t>
      </w:r>
    </w:p>
    <w:p w:rsidR="00F35B42" w:rsidRPr="00405D03" w:rsidRDefault="00F35B42" w:rsidP="00E3437F">
      <w:pPr>
        <w:rPr>
          <w:sz w:val="20"/>
          <w:szCs w:val="20"/>
        </w:rPr>
      </w:pPr>
    </w:p>
    <w:p w:rsidR="00F35B42" w:rsidRPr="00405D03" w:rsidRDefault="006817DB" w:rsidP="00F35B42">
      <w:pPr>
        <w:pStyle w:val="Default"/>
        <w:rPr>
          <w:rFonts w:ascii="Times New Roman" w:hAnsi="Times New Roman" w:cs="Times New Roman"/>
          <w:sz w:val="20"/>
          <w:szCs w:val="20"/>
        </w:rPr>
      </w:pPr>
      <w:r w:rsidRPr="00405D03">
        <w:rPr>
          <w:rFonts w:ascii="Times New Roman" w:hAnsi="Times New Roman" w:cs="Times New Roman"/>
          <w:sz w:val="20"/>
          <w:szCs w:val="20"/>
        </w:rPr>
        <w:t>5</w:t>
      </w:r>
      <w:r w:rsidR="00F35B42" w:rsidRPr="00405D03">
        <w:rPr>
          <w:rFonts w:ascii="Times New Roman" w:hAnsi="Times New Roman" w:cs="Times New Roman"/>
          <w:sz w:val="20"/>
          <w:szCs w:val="20"/>
        </w:rPr>
        <w:t>.  Besides the broad economic benefits associated with construction, national research consistently links school building upgrades to a wide array of impacts, including student attendance and academic gains, teacher job satisfaction and retention, increased residential property values, equity across communities, and reduced negative health issues arising from poorly maintained buildings.</w:t>
      </w:r>
    </w:p>
    <w:p w:rsidR="000A4E60" w:rsidRPr="00405D03" w:rsidRDefault="000A4E60" w:rsidP="00F35B42">
      <w:pPr>
        <w:pStyle w:val="Default"/>
        <w:rPr>
          <w:rFonts w:ascii="Times New Roman" w:hAnsi="Times New Roman" w:cs="Times New Roman"/>
          <w:sz w:val="20"/>
          <w:szCs w:val="20"/>
        </w:rPr>
      </w:pPr>
    </w:p>
    <w:p w:rsidR="000A4E60" w:rsidRDefault="006817DB" w:rsidP="00F35B42">
      <w:pPr>
        <w:pStyle w:val="Default"/>
        <w:rPr>
          <w:rFonts w:ascii="Times New Roman" w:hAnsi="Times New Roman" w:cs="Times New Roman"/>
          <w:sz w:val="20"/>
          <w:szCs w:val="20"/>
        </w:rPr>
      </w:pPr>
      <w:r w:rsidRPr="00405D03">
        <w:rPr>
          <w:rFonts w:ascii="Times New Roman" w:hAnsi="Times New Roman" w:cs="Times New Roman"/>
          <w:sz w:val="20"/>
          <w:szCs w:val="20"/>
        </w:rPr>
        <w:t>6</w:t>
      </w:r>
      <w:r w:rsidR="000A4E60" w:rsidRPr="00405D03">
        <w:rPr>
          <w:rFonts w:ascii="Times New Roman" w:hAnsi="Times New Roman" w:cs="Times New Roman"/>
          <w:sz w:val="20"/>
          <w:szCs w:val="20"/>
        </w:rPr>
        <w:t>.  Full Equalization will inspire more l</w:t>
      </w:r>
      <w:r w:rsidR="004448B3">
        <w:rPr>
          <w:rFonts w:ascii="Times New Roman" w:hAnsi="Times New Roman" w:cs="Times New Roman"/>
          <w:sz w:val="20"/>
          <w:szCs w:val="20"/>
        </w:rPr>
        <w:t>ocal Boards of Education to have</w:t>
      </w:r>
      <w:r w:rsidR="000A4E60" w:rsidRPr="00405D03">
        <w:rPr>
          <w:rFonts w:ascii="Times New Roman" w:hAnsi="Times New Roman" w:cs="Times New Roman"/>
          <w:sz w:val="20"/>
          <w:szCs w:val="20"/>
        </w:rPr>
        <w:t xml:space="preserve"> “skin in the game” by levying recallable nickel taxes.</w:t>
      </w:r>
    </w:p>
    <w:p w:rsidR="00E75067" w:rsidRDefault="00E75067" w:rsidP="00F35B42">
      <w:pPr>
        <w:pStyle w:val="Default"/>
        <w:rPr>
          <w:rFonts w:ascii="Times New Roman" w:hAnsi="Times New Roman" w:cs="Times New Roman"/>
          <w:sz w:val="20"/>
          <w:szCs w:val="20"/>
        </w:rPr>
      </w:pPr>
    </w:p>
    <w:p w:rsidR="00505CE2" w:rsidRDefault="00E75067" w:rsidP="00F35B42">
      <w:pPr>
        <w:pStyle w:val="Default"/>
        <w:rPr>
          <w:rFonts w:ascii="Times New Roman" w:hAnsi="Times New Roman" w:cs="Times New Roman"/>
          <w:sz w:val="20"/>
          <w:szCs w:val="20"/>
        </w:rPr>
      </w:pPr>
      <w:r>
        <w:rPr>
          <w:rFonts w:ascii="Times New Roman" w:hAnsi="Times New Roman" w:cs="Times New Roman"/>
          <w:sz w:val="20"/>
          <w:szCs w:val="20"/>
        </w:rPr>
        <w:t xml:space="preserve">7. </w:t>
      </w:r>
      <w:r w:rsidR="00DC69AD">
        <w:rPr>
          <w:rFonts w:ascii="Times New Roman" w:hAnsi="Times New Roman" w:cs="Times New Roman"/>
          <w:sz w:val="20"/>
          <w:szCs w:val="20"/>
        </w:rPr>
        <w:t xml:space="preserve">Currently, $457 million is </w:t>
      </w:r>
      <w:r w:rsidR="004276BF">
        <w:rPr>
          <w:rFonts w:ascii="Times New Roman" w:hAnsi="Times New Roman" w:cs="Times New Roman"/>
          <w:sz w:val="20"/>
          <w:szCs w:val="20"/>
        </w:rPr>
        <w:t xml:space="preserve">directed towards school facilities funding through the various nickels included in the SEEK funding formula. This includes local taxes and state equalization of nickels. </w:t>
      </w:r>
    </w:p>
    <w:p w:rsidR="00505CE2" w:rsidRDefault="00505CE2" w:rsidP="00F35B42">
      <w:pPr>
        <w:pStyle w:val="Default"/>
        <w:rPr>
          <w:rFonts w:ascii="Times New Roman" w:hAnsi="Times New Roman" w:cs="Times New Roman"/>
          <w:sz w:val="20"/>
          <w:szCs w:val="20"/>
        </w:rPr>
      </w:pPr>
    </w:p>
    <w:p w:rsidR="00505CE2" w:rsidRDefault="00505CE2" w:rsidP="00F35B42">
      <w:pPr>
        <w:pStyle w:val="Default"/>
        <w:rPr>
          <w:rFonts w:ascii="Times New Roman" w:hAnsi="Times New Roman" w:cs="Times New Roman"/>
          <w:sz w:val="20"/>
          <w:szCs w:val="20"/>
        </w:rPr>
      </w:pPr>
    </w:p>
    <w:p w:rsidR="00505CE2" w:rsidRDefault="00505CE2" w:rsidP="00F35B42">
      <w:pPr>
        <w:pStyle w:val="Default"/>
        <w:rPr>
          <w:rFonts w:ascii="Times New Roman" w:hAnsi="Times New Roman" w:cs="Times New Roman"/>
          <w:sz w:val="20"/>
          <w:szCs w:val="20"/>
        </w:rPr>
      </w:pPr>
    </w:p>
    <w:p w:rsidR="00505CE2" w:rsidRDefault="00505CE2" w:rsidP="00F35B42">
      <w:pPr>
        <w:pStyle w:val="Default"/>
        <w:rPr>
          <w:rFonts w:ascii="Times New Roman" w:hAnsi="Times New Roman" w:cs="Times New Roman"/>
          <w:sz w:val="20"/>
          <w:szCs w:val="20"/>
        </w:rPr>
      </w:pPr>
    </w:p>
    <w:p w:rsidR="00505CE2" w:rsidRDefault="00505CE2" w:rsidP="00F35B42">
      <w:pPr>
        <w:pStyle w:val="Default"/>
        <w:rPr>
          <w:rFonts w:ascii="Times New Roman" w:hAnsi="Times New Roman" w:cs="Times New Roman"/>
          <w:sz w:val="20"/>
          <w:szCs w:val="20"/>
        </w:rPr>
      </w:pPr>
    </w:p>
    <w:p w:rsidR="00505CE2" w:rsidRDefault="00505CE2" w:rsidP="00F35B42">
      <w:pPr>
        <w:pStyle w:val="Default"/>
        <w:rPr>
          <w:rFonts w:ascii="Times New Roman" w:hAnsi="Times New Roman" w:cs="Times New Roman"/>
          <w:sz w:val="20"/>
          <w:szCs w:val="20"/>
        </w:rPr>
      </w:pPr>
    </w:p>
    <w:p w:rsidR="00505CE2" w:rsidRDefault="00505CE2" w:rsidP="00F35B42">
      <w:pPr>
        <w:pStyle w:val="Default"/>
        <w:rPr>
          <w:rFonts w:ascii="Times New Roman" w:hAnsi="Times New Roman" w:cs="Times New Roman"/>
          <w:sz w:val="20"/>
          <w:szCs w:val="20"/>
        </w:rPr>
      </w:pPr>
      <w:r>
        <w:rPr>
          <w:rFonts w:ascii="Times New Roman" w:hAnsi="Times New Roman" w:cs="Times New Roman"/>
          <w:sz w:val="20"/>
          <w:szCs w:val="20"/>
        </w:rPr>
        <w:t>*Beechwood Independent</w:t>
      </w:r>
      <w:r w:rsidR="00B347EC">
        <w:rPr>
          <w:rFonts w:ascii="Times New Roman" w:hAnsi="Times New Roman" w:cs="Times New Roman"/>
          <w:sz w:val="20"/>
          <w:szCs w:val="20"/>
        </w:rPr>
        <w:t xml:space="preserve"> Schools</w:t>
      </w:r>
      <w:r>
        <w:rPr>
          <w:rFonts w:ascii="Times New Roman" w:hAnsi="Times New Roman" w:cs="Times New Roman"/>
          <w:sz w:val="20"/>
          <w:szCs w:val="20"/>
        </w:rPr>
        <w:t xml:space="preserve"> levied two recallable nickels </w:t>
      </w:r>
      <w:r w:rsidR="00B347EC">
        <w:rPr>
          <w:rFonts w:ascii="Times New Roman" w:hAnsi="Times New Roman" w:cs="Times New Roman"/>
          <w:sz w:val="20"/>
          <w:szCs w:val="20"/>
        </w:rPr>
        <w:t xml:space="preserve">on May 13, 2019. </w:t>
      </w:r>
    </w:p>
    <w:p w:rsidR="00647E6A" w:rsidRPr="00405D03" w:rsidRDefault="00647E6A" w:rsidP="00F35B42">
      <w:pPr>
        <w:pStyle w:val="Default"/>
        <w:rPr>
          <w:rFonts w:ascii="Times New Roman" w:hAnsi="Times New Roman" w:cs="Times New Roman"/>
          <w:sz w:val="20"/>
          <w:szCs w:val="20"/>
        </w:rPr>
      </w:pPr>
      <w:r>
        <w:rPr>
          <w:rFonts w:ascii="Times New Roman" w:hAnsi="Times New Roman" w:cs="Times New Roman"/>
          <w:sz w:val="20"/>
          <w:szCs w:val="20"/>
        </w:rPr>
        <w:t>**Powell County Board of Education has passed the Recallable Nickel and is currently in the local 45 day public petition window</w:t>
      </w:r>
    </w:p>
    <w:sectPr w:rsidR="00647E6A" w:rsidRPr="00405D03" w:rsidSect="00AF49A9">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491" w:rsidRDefault="00D30491" w:rsidP="00A777EA">
      <w:r>
        <w:separator/>
      </w:r>
    </w:p>
  </w:endnote>
  <w:endnote w:type="continuationSeparator" w:id="0">
    <w:p w:rsidR="00D30491" w:rsidRDefault="00D30491" w:rsidP="00A7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491" w:rsidRDefault="00D30491" w:rsidP="00A777EA">
      <w:r>
        <w:separator/>
      </w:r>
    </w:p>
  </w:footnote>
  <w:footnote w:type="continuationSeparator" w:id="0">
    <w:p w:rsidR="00D30491" w:rsidRDefault="00D30491" w:rsidP="00A77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7EA" w:rsidRPr="00A5627F" w:rsidRDefault="00A5627F" w:rsidP="00A777EA">
    <w:pPr>
      <w:pStyle w:val="Header"/>
      <w:jc w:val="center"/>
      <w:rPr>
        <w:b/>
        <w:sz w:val="40"/>
        <w:szCs w:val="40"/>
      </w:rPr>
    </w:pPr>
    <w:r w:rsidRPr="00A5627F">
      <w:rPr>
        <w:b/>
        <w:sz w:val="40"/>
        <w:szCs w:val="40"/>
      </w:rPr>
      <w:t xml:space="preserve">Request for Full </w:t>
    </w:r>
    <w:r w:rsidR="00A777EA" w:rsidRPr="00A5627F">
      <w:rPr>
        <w:b/>
        <w:sz w:val="40"/>
        <w:szCs w:val="40"/>
      </w:rPr>
      <w:t>Equalization</w:t>
    </w:r>
    <w:r w:rsidRPr="00A5627F">
      <w:rPr>
        <w:b/>
        <w:sz w:val="40"/>
        <w:szCs w:val="40"/>
      </w:rPr>
      <w:t xml:space="preserve"> of Local School Facility “New Nickel” Tax Levies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7F"/>
    <w:rsid w:val="000032A0"/>
    <w:rsid w:val="00020081"/>
    <w:rsid w:val="00041310"/>
    <w:rsid w:val="00057E2B"/>
    <w:rsid w:val="00084980"/>
    <w:rsid w:val="000A10B5"/>
    <w:rsid w:val="000A4E60"/>
    <w:rsid w:val="000B4B2E"/>
    <w:rsid w:val="00100896"/>
    <w:rsid w:val="0014244F"/>
    <w:rsid w:val="001561B0"/>
    <w:rsid w:val="0018043D"/>
    <w:rsid w:val="001B02F0"/>
    <w:rsid w:val="001D4539"/>
    <w:rsid w:val="001E6CFF"/>
    <w:rsid w:val="001F3799"/>
    <w:rsid w:val="002349C0"/>
    <w:rsid w:val="00237057"/>
    <w:rsid w:val="00314726"/>
    <w:rsid w:val="0033185E"/>
    <w:rsid w:val="0035169B"/>
    <w:rsid w:val="00364A19"/>
    <w:rsid w:val="003B416D"/>
    <w:rsid w:val="003B6A94"/>
    <w:rsid w:val="003D44A8"/>
    <w:rsid w:val="003F1908"/>
    <w:rsid w:val="004035E6"/>
    <w:rsid w:val="0040440A"/>
    <w:rsid w:val="00405D03"/>
    <w:rsid w:val="004123EF"/>
    <w:rsid w:val="004276BF"/>
    <w:rsid w:val="00435174"/>
    <w:rsid w:val="00441CCF"/>
    <w:rsid w:val="004448B3"/>
    <w:rsid w:val="00487BA6"/>
    <w:rsid w:val="004921E4"/>
    <w:rsid w:val="00505CE2"/>
    <w:rsid w:val="005839F5"/>
    <w:rsid w:val="005A002C"/>
    <w:rsid w:val="005B28D8"/>
    <w:rsid w:val="005B42F1"/>
    <w:rsid w:val="005C37EF"/>
    <w:rsid w:val="005D685F"/>
    <w:rsid w:val="005F68A4"/>
    <w:rsid w:val="00602FAD"/>
    <w:rsid w:val="00614298"/>
    <w:rsid w:val="006170F1"/>
    <w:rsid w:val="00640812"/>
    <w:rsid w:val="00647E6A"/>
    <w:rsid w:val="00650A80"/>
    <w:rsid w:val="006817DB"/>
    <w:rsid w:val="006861A6"/>
    <w:rsid w:val="00692523"/>
    <w:rsid w:val="00697DD8"/>
    <w:rsid w:val="006C0D67"/>
    <w:rsid w:val="006C32FC"/>
    <w:rsid w:val="006C6E9E"/>
    <w:rsid w:val="006D311F"/>
    <w:rsid w:val="006E5781"/>
    <w:rsid w:val="006E6C79"/>
    <w:rsid w:val="00771040"/>
    <w:rsid w:val="00771C67"/>
    <w:rsid w:val="00775CA2"/>
    <w:rsid w:val="007C3156"/>
    <w:rsid w:val="007D79AB"/>
    <w:rsid w:val="007F6AC3"/>
    <w:rsid w:val="00826C07"/>
    <w:rsid w:val="00842B4A"/>
    <w:rsid w:val="00865600"/>
    <w:rsid w:val="00874630"/>
    <w:rsid w:val="00897366"/>
    <w:rsid w:val="008C1B8B"/>
    <w:rsid w:val="008C33D5"/>
    <w:rsid w:val="008D2646"/>
    <w:rsid w:val="008E40CF"/>
    <w:rsid w:val="00903443"/>
    <w:rsid w:val="00903BEB"/>
    <w:rsid w:val="00926E52"/>
    <w:rsid w:val="009619C0"/>
    <w:rsid w:val="00974D25"/>
    <w:rsid w:val="00992D4A"/>
    <w:rsid w:val="009D3276"/>
    <w:rsid w:val="009D5847"/>
    <w:rsid w:val="00A5627F"/>
    <w:rsid w:val="00A62036"/>
    <w:rsid w:val="00A777EA"/>
    <w:rsid w:val="00AB3464"/>
    <w:rsid w:val="00AC7098"/>
    <w:rsid w:val="00AE13CB"/>
    <w:rsid w:val="00AF49A9"/>
    <w:rsid w:val="00B00298"/>
    <w:rsid w:val="00B11A5A"/>
    <w:rsid w:val="00B32093"/>
    <w:rsid w:val="00B347EC"/>
    <w:rsid w:val="00B76D97"/>
    <w:rsid w:val="00B7783C"/>
    <w:rsid w:val="00BA7508"/>
    <w:rsid w:val="00BE2044"/>
    <w:rsid w:val="00C024EF"/>
    <w:rsid w:val="00C04D47"/>
    <w:rsid w:val="00C41642"/>
    <w:rsid w:val="00C55364"/>
    <w:rsid w:val="00C56BFE"/>
    <w:rsid w:val="00C73375"/>
    <w:rsid w:val="00C93542"/>
    <w:rsid w:val="00CB4A02"/>
    <w:rsid w:val="00CC3166"/>
    <w:rsid w:val="00CF3E6C"/>
    <w:rsid w:val="00D11601"/>
    <w:rsid w:val="00D30491"/>
    <w:rsid w:val="00D873FB"/>
    <w:rsid w:val="00DC52F9"/>
    <w:rsid w:val="00DC69AD"/>
    <w:rsid w:val="00DC780E"/>
    <w:rsid w:val="00E30AE2"/>
    <w:rsid w:val="00E3437F"/>
    <w:rsid w:val="00E4724B"/>
    <w:rsid w:val="00E75067"/>
    <w:rsid w:val="00ED1E55"/>
    <w:rsid w:val="00ED7479"/>
    <w:rsid w:val="00F35B42"/>
    <w:rsid w:val="00F847DA"/>
    <w:rsid w:val="00FA005C"/>
    <w:rsid w:val="00FC1A63"/>
    <w:rsid w:val="00FF04A1"/>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7EA"/>
    <w:pPr>
      <w:tabs>
        <w:tab w:val="center" w:pos="4680"/>
        <w:tab w:val="right" w:pos="9360"/>
      </w:tabs>
    </w:pPr>
  </w:style>
  <w:style w:type="character" w:customStyle="1" w:styleId="HeaderChar">
    <w:name w:val="Header Char"/>
    <w:basedOn w:val="DefaultParagraphFont"/>
    <w:link w:val="Header"/>
    <w:uiPriority w:val="99"/>
    <w:rsid w:val="00A777EA"/>
  </w:style>
  <w:style w:type="paragraph" w:styleId="Footer">
    <w:name w:val="footer"/>
    <w:basedOn w:val="Normal"/>
    <w:link w:val="FooterChar"/>
    <w:uiPriority w:val="99"/>
    <w:unhideWhenUsed/>
    <w:rsid w:val="00A777EA"/>
    <w:pPr>
      <w:tabs>
        <w:tab w:val="center" w:pos="4680"/>
        <w:tab w:val="right" w:pos="9360"/>
      </w:tabs>
    </w:pPr>
  </w:style>
  <w:style w:type="character" w:customStyle="1" w:styleId="FooterChar">
    <w:name w:val="Footer Char"/>
    <w:basedOn w:val="DefaultParagraphFont"/>
    <w:link w:val="Footer"/>
    <w:uiPriority w:val="99"/>
    <w:rsid w:val="00A777EA"/>
  </w:style>
  <w:style w:type="paragraph" w:styleId="BalloonText">
    <w:name w:val="Balloon Text"/>
    <w:basedOn w:val="Normal"/>
    <w:link w:val="BalloonTextChar"/>
    <w:uiPriority w:val="99"/>
    <w:semiHidden/>
    <w:unhideWhenUsed/>
    <w:rsid w:val="00020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081"/>
    <w:rPr>
      <w:rFonts w:ascii="Segoe UI" w:hAnsi="Segoe UI" w:cs="Segoe UI"/>
      <w:sz w:val="18"/>
      <w:szCs w:val="18"/>
    </w:rPr>
  </w:style>
  <w:style w:type="paragraph" w:customStyle="1" w:styleId="Default">
    <w:name w:val="Default"/>
    <w:rsid w:val="00F35B42"/>
    <w:pPr>
      <w:autoSpaceDE w:val="0"/>
      <w:autoSpaceDN w:val="0"/>
      <w:adjustRightInd w:val="0"/>
    </w:pPr>
    <w:rPr>
      <w:rFonts w:ascii="Arial"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7EA"/>
    <w:pPr>
      <w:tabs>
        <w:tab w:val="center" w:pos="4680"/>
        <w:tab w:val="right" w:pos="9360"/>
      </w:tabs>
    </w:pPr>
  </w:style>
  <w:style w:type="character" w:customStyle="1" w:styleId="HeaderChar">
    <w:name w:val="Header Char"/>
    <w:basedOn w:val="DefaultParagraphFont"/>
    <w:link w:val="Header"/>
    <w:uiPriority w:val="99"/>
    <w:rsid w:val="00A777EA"/>
  </w:style>
  <w:style w:type="paragraph" w:styleId="Footer">
    <w:name w:val="footer"/>
    <w:basedOn w:val="Normal"/>
    <w:link w:val="FooterChar"/>
    <w:uiPriority w:val="99"/>
    <w:unhideWhenUsed/>
    <w:rsid w:val="00A777EA"/>
    <w:pPr>
      <w:tabs>
        <w:tab w:val="center" w:pos="4680"/>
        <w:tab w:val="right" w:pos="9360"/>
      </w:tabs>
    </w:pPr>
  </w:style>
  <w:style w:type="character" w:customStyle="1" w:styleId="FooterChar">
    <w:name w:val="Footer Char"/>
    <w:basedOn w:val="DefaultParagraphFont"/>
    <w:link w:val="Footer"/>
    <w:uiPriority w:val="99"/>
    <w:rsid w:val="00A777EA"/>
  </w:style>
  <w:style w:type="paragraph" w:styleId="BalloonText">
    <w:name w:val="Balloon Text"/>
    <w:basedOn w:val="Normal"/>
    <w:link w:val="BalloonTextChar"/>
    <w:uiPriority w:val="99"/>
    <w:semiHidden/>
    <w:unhideWhenUsed/>
    <w:rsid w:val="00020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081"/>
    <w:rPr>
      <w:rFonts w:ascii="Segoe UI" w:hAnsi="Segoe UI" w:cs="Segoe UI"/>
      <w:sz w:val="18"/>
      <w:szCs w:val="18"/>
    </w:rPr>
  </w:style>
  <w:style w:type="paragraph" w:customStyle="1" w:styleId="Default">
    <w:name w:val="Default"/>
    <w:rsid w:val="00F35B42"/>
    <w:pPr>
      <w:autoSpaceDE w:val="0"/>
      <w:autoSpaceDN w:val="0"/>
      <w:adjustRightInd w:val="0"/>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91786">
      <w:bodyDiv w:val="1"/>
      <w:marLeft w:val="0"/>
      <w:marRight w:val="0"/>
      <w:marTop w:val="0"/>
      <w:marBottom w:val="0"/>
      <w:divBdr>
        <w:top w:val="none" w:sz="0" w:space="0" w:color="auto"/>
        <w:left w:val="none" w:sz="0" w:space="0" w:color="auto"/>
        <w:bottom w:val="none" w:sz="0" w:space="0" w:color="auto"/>
        <w:right w:val="none" w:sz="0" w:space="0" w:color="auto"/>
      </w:divBdr>
    </w:div>
    <w:div w:id="559680014">
      <w:bodyDiv w:val="1"/>
      <w:marLeft w:val="0"/>
      <w:marRight w:val="0"/>
      <w:marTop w:val="0"/>
      <w:marBottom w:val="0"/>
      <w:divBdr>
        <w:top w:val="none" w:sz="0" w:space="0" w:color="auto"/>
        <w:left w:val="none" w:sz="0" w:space="0" w:color="auto"/>
        <w:bottom w:val="none" w:sz="0" w:space="0" w:color="auto"/>
        <w:right w:val="none" w:sz="0" w:space="0" w:color="auto"/>
      </w:divBdr>
    </w:div>
    <w:div w:id="567151631">
      <w:bodyDiv w:val="1"/>
      <w:marLeft w:val="0"/>
      <w:marRight w:val="0"/>
      <w:marTop w:val="0"/>
      <w:marBottom w:val="0"/>
      <w:divBdr>
        <w:top w:val="none" w:sz="0" w:space="0" w:color="auto"/>
        <w:left w:val="none" w:sz="0" w:space="0" w:color="auto"/>
        <w:bottom w:val="none" w:sz="0" w:space="0" w:color="auto"/>
        <w:right w:val="none" w:sz="0" w:space="0" w:color="auto"/>
      </w:divBdr>
    </w:div>
    <w:div w:id="849294446">
      <w:bodyDiv w:val="1"/>
      <w:marLeft w:val="0"/>
      <w:marRight w:val="0"/>
      <w:marTop w:val="0"/>
      <w:marBottom w:val="0"/>
      <w:divBdr>
        <w:top w:val="none" w:sz="0" w:space="0" w:color="auto"/>
        <w:left w:val="none" w:sz="0" w:space="0" w:color="auto"/>
        <w:bottom w:val="none" w:sz="0" w:space="0" w:color="auto"/>
        <w:right w:val="none" w:sz="0" w:space="0" w:color="auto"/>
      </w:divBdr>
    </w:div>
    <w:div w:id="983661806">
      <w:bodyDiv w:val="1"/>
      <w:marLeft w:val="0"/>
      <w:marRight w:val="0"/>
      <w:marTop w:val="0"/>
      <w:marBottom w:val="0"/>
      <w:divBdr>
        <w:top w:val="none" w:sz="0" w:space="0" w:color="auto"/>
        <w:left w:val="none" w:sz="0" w:space="0" w:color="auto"/>
        <w:bottom w:val="none" w:sz="0" w:space="0" w:color="auto"/>
        <w:right w:val="none" w:sz="0" w:space="0" w:color="auto"/>
      </w:divBdr>
    </w:div>
    <w:div w:id="1126586078">
      <w:bodyDiv w:val="1"/>
      <w:marLeft w:val="0"/>
      <w:marRight w:val="0"/>
      <w:marTop w:val="0"/>
      <w:marBottom w:val="0"/>
      <w:divBdr>
        <w:top w:val="none" w:sz="0" w:space="0" w:color="auto"/>
        <w:left w:val="none" w:sz="0" w:space="0" w:color="auto"/>
        <w:bottom w:val="none" w:sz="0" w:space="0" w:color="auto"/>
        <w:right w:val="none" w:sz="0" w:space="0" w:color="auto"/>
      </w:divBdr>
    </w:div>
    <w:div w:id="1277174719">
      <w:bodyDiv w:val="1"/>
      <w:marLeft w:val="0"/>
      <w:marRight w:val="0"/>
      <w:marTop w:val="0"/>
      <w:marBottom w:val="0"/>
      <w:divBdr>
        <w:top w:val="none" w:sz="0" w:space="0" w:color="auto"/>
        <w:left w:val="none" w:sz="0" w:space="0" w:color="auto"/>
        <w:bottom w:val="none" w:sz="0" w:space="0" w:color="auto"/>
        <w:right w:val="none" w:sz="0" w:space="0" w:color="auto"/>
      </w:divBdr>
    </w:div>
    <w:div w:id="1513178307">
      <w:bodyDiv w:val="1"/>
      <w:marLeft w:val="0"/>
      <w:marRight w:val="0"/>
      <w:marTop w:val="0"/>
      <w:marBottom w:val="0"/>
      <w:divBdr>
        <w:top w:val="none" w:sz="0" w:space="0" w:color="auto"/>
        <w:left w:val="none" w:sz="0" w:space="0" w:color="auto"/>
        <w:bottom w:val="none" w:sz="0" w:space="0" w:color="auto"/>
        <w:right w:val="none" w:sz="0" w:space="0" w:color="auto"/>
      </w:divBdr>
    </w:div>
    <w:div w:id="1554079571">
      <w:bodyDiv w:val="1"/>
      <w:marLeft w:val="0"/>
      <w:marRight w:val="0"/>
      <w:marTop w:val="0"/>
      <w:marBottom w:val="0"/>
      <w:divBdr>
        <w:top w:val="none" w:sz="0" w:space="0" w:color="auto"/>
        <w:left w:val="none" w:sz="0" w:space="0" w:color="auto"/>
        <w:bottom w:val="none" w:sz="0" w:space="0" w:color="auto"/>
        <w:right w:val="none" w:sz="0" w:space="0" w:color="auto"/>
      </w:divBdr>
    </w:div>
    <w:div w:id="1604075362">
      <w:bodyDiv w:val="1"/>
      <w:marLeft w:val="0"/>
      <w:marRight w:val="0"/>
      <w:marTop w:val="0"/>
      <w:marBottom w:val="0"/>
      <w:divBdr>
        <w:top w:val="none" w:sz="0" w:space="0" w:color="auto"/>
        <w:left w:val="none" w:sz="0" w:space="0" w:color="auto"/>
        <w:bottom w:val="none" w:sz="0" w:space="0" w:color="auto"/>
        <w:right w:val="none" w:sz="0" w:space="0" w:color="auto"/>
      </w:divBdr>
    </w:div>
    <w:div w:id="1995334385">
      <w:bodyDiv w:val="1"/>
      <w:marLeft w:val="0"/>
      <w:marRight w:val="0"/>
      <w:marTop w:val="0"/>
      <w:marBottom w:val="0"/>
      <w:divBdr>
        <w:top w:val="none" w:sz="0" w:space="0" w:color="auto"/>
        <w:left w:val="none" w:sz="0" w:space="0" w:color="auto"/>
        <w:bottom w:val="none" w:sz="0" w:space="0" w:color="auto"/>
        <w:right w:val="none" w:sz="0" w:space="0" w:color="auto"/>
      </w:divBdr>
    </w:div>
    <w:div w:id="200300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EA9D4-A632-4A44-8C60-5B8CB8E8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 Kevin</dc:creator>
  <cp:lastModifiedBy>Estes, Kyle</cp:lastModifiedBy>
  <cp:revision>5</cp:revision>
  <cp:lastPrinted>2016-01-07T14:37:00Z</cp:lastPrinted>
  <dcterms:created xsi:type="dcterms:W3CDTF">2020-01-08T14:32:00Z</dcterms:created>
  <dcterms:modified xsi:type="dcterms:W3CDTF">2020-01-10T20:37:00Z</dcterms:modified>
</cp:coreProperties>
</file>