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598980" w14:textId="62184F3D" w:rsidR="00D6510F" w:rsidRPr="00D6510F" w:rsidRDefault="00D6510F" w:rsidP="00D6510F">
      <w:pPr>
        <w:jc w:val="center"/>
        <w:rPr>
          <w:b/>
          <w:bCs/>
        </w:rPr>
      </w:pPr>
      <w:bookmarkStart w:id="0" w:name="_GoBack"/>
      <w:bookmarkEnd w:id="0"/>
      <w:r w:rsidRPr="001C78BA"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7B66E397" wp14:editId="0489A9A5">
            <wp:simplePos x="0" y="0"/>
            <wp:positionH relativeFrom="column">
              <wp:posOffset>309880</wp:posOffset>
            </wp:positionH>
            <wp:positionV relativeFrom="paragraph">
              <wp:posOffset>0</wp:posOffset>
            </wp:positionV>
            <wp:extent cx="1256030" cy="1122680"/>
            <wp:effectExtent l="0" t="0" r="1270" b="0"/>
            <wp:wrapTight wrapText="bothSides">
              <wp:wrapPolygon edited="0">
                <wp:start x="0" y="0"/>
                <wp:lineTo x="0" y="21258"/>
                <wp:lineTo x="21403" y="21258"/>
                <wp:lineTo x="21403" y="0"/>
                <wp:lineTo x="0" y="0"/>
              </wp:wrapPolygon>
            </wp:wrapTight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6030" cy="1122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1D5B74" w14:textId="2A495700" w:rsidR="00D6510F" w:rsidRPr="00D6510F" w:rsidRDefault="00D563EF" w:rsidP="00D6510F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Kentucky Needs More Affordable Housing Options!</w:t>
      </w:r>
    </w:p>
    <w:p w14:paraId="374A3434" w14:textId="77777777" w:rsidR="00D6510F" w:rsidRPr="001C0878" w:rsidRDefault="00D6510F" w:rsidP="00D6510F"/>
    <w:p w14:paraId="7BDCD87E" w14:textId="77777777" w:rsidR="00EC6979" w:rsidRDefault="00EC6979" w:rsidP="00D6510F">
      <w:pPr>
        <w:rPr>
          <w:b/>
          <w:bCs/>
        </w:rPr>
      </w:pPr>
    </w:p>
    <w:p w14:paraId="34C1782C" w14:textId="626A466B" w:rsidR="00D6510F" w:rsidRPr="001C0878" w:rsidRDefault="00D6510F" w:rsidP="00D6510F">
      <w:r w:rsidRPr="001C0878">
        <w:rPr>
          <w:b/>
          <w:bCs/>
        </w:rPr>
        <w:t>The PROBLEM:</w:t>
      </w:r>
      <w:r w:rsidRPr="001C0878">
        <w:t xml:space="preserve"> There is an extreme shortage of </w:t>
      </w:r>
      <w:r>
        <w:t>housing solutions</w:t>
      </w:r>
      <w:r w:rsidRPr="001C0878">
        <w:t xml:space="preserve"> </w:t>
      </w:r>
      <w:r>
        <w:t>for Kentucky’s working families—and it’s only been made worse by the COVID-19 pandemic.</w:t>
      </w:r>
    </w:p>
    <w:p w14:paraId="7D2BFC2F" w14:textId="77777777" w:rsidR="00D6510F" w:rsidRPr="001C0878" w:rsidRDefault="00D6510F" w:rsidP="00D6510F"/>
    <w:p w14:paraId="1B768CDD" w14:textId="77777777" w:rsidR="00D6510F" w:rsidRPr="00A574F1" w:rsidRDefault="00D6510F" w:rsidP="00A574F1">
      <w:pPr>
        <w:rPr>
          <w:b/>
          <w:bCs/>
        </w:rPr>
      </w:pPr>
      <w:r w:rsidRPr="00A574F1">
        <w:rPr>
          <w:b/>
          <w:bCs/>
        </w:rPr>
        <w:t>As the crisis continues, more and more Kentuckians are struggling to find housing solutions.</w:t>
      </w:r>
    </w:p>
    <w:p w14:paraId="2E06C271" w14:textId="2C223591" w:rsidR="00D6510F" w:rsidRPr="001C0878" w:rsidRDefault="00D6510F" w:rsidP="00A574F1">
      <w:pPr>
        <w:pStyle w:val="ListParagraph"/>
        <w:numPr>
          <w:ilvl w:val="0"/>
          <w:numId w:val="10"/>
        </w:numPr>
      </w:pPr>
      <w:r w:rsidRPr="001C0878">
        <w:t xml:space="preserve">Approximately 21% of Kentuckians spend more than half of </w:t>
      </w:r>
      <w:r w:rsidRPr="00D6510F">
        <w:t>their income on home rental costs, according to figures available before the pandemic. Ideally, individuals and families should only have about 30% of their income go towards housing costs, but too many are having to pay a significantly larger percentage.</w:t>
      </w:r>
    </w:p>
    <w:p w14:paraId="545E3FD1" w14:textId="043F7863" w:rsidR="00D6510F" w:rsidRDefault="00D6510F" w:rsidP="00A574F1">
      <w:pPr>
        <w:pStyle w:val="ListParagraph"/>
        <w:numPr>
          <w:ilvl w:val="0"/>
          <w:numId w:val="10"/>
        </w:numPr>
      </w:pPr>
      <w:r w:rsidRPr="001C0878">
        <w:t xml:space="preserve">Even prior to the COVID-19 pandemic, Kentucky was short 75,000 homes for </w:t>
      </w:r>
      <w:r>
        <w:t>working</w:t>
      </w:r>
      <w:r w:rsidRPr="001C0878">
        <w:t xml:space="preserve"> families.</w:t>
      </w:r>
    </w:p>
    <w:p w14:paraId="11FA183A" w14:textId="77777777" w:rsidR="00A574F1" w:rsidRPr="001C0878" w:rsidRDefault="00A574F1" w:rsidP="00A574F1">
      <w:pPr>
        <w:pStyle w:val="ListParagraph"/>
      </w:pPr>
    </w:p>
    <w:p w14:paraId="3EC31BCD" w14:textId="77777777" w:rsidR="00D6510F" w:rsidRPr="00A574F1" w:rsidRDefault="00D6510F" w:rsidP="00A574F1">
      <w:pPr>
        <w:rPr>
          <w:b/>
          <w:bCs/>
        </w:rPr>
      </w:pPr>
      <w:r w:rsidRPr="00A574F1">
        <w:rPr>
          <w:b/>
          <w:bCs/>
        </w:rPr>
        <w:t xml:space="preserve">A variety of factors, including pandemic related unemployment, have contributed to Kentucky’s affordable housing crisis. </w:t>
      </w:r>
    </w:p>
    <w:p w14:paraId="5E0E705F" w14:textId="1A28AA32" w:rsidR="00D6510F" w:rsidRPr="001C0878" w:rsidRDefault="00D6510F" w:rsidP="00A574F1">
      <w:pPr>
        <w:pStyle w:val="ListParagraph"/>
        <w:numPr>
          <w:ilvl w:val="0"/>
          <w:numId w:val="10"/>
        </w:numPr>
      </w:pPr>
      <w:r w:rsidRPr="001C0878">
        <w:t>The affordable housing crisis was made worse by the pandemic, which also caused many businesses to close, leading to further housing and poverty issues.</w:t>
      </w:r>
    </w:p>
    <w:p w14:paraId="6AF9D1BD" w14:textId="1CACE35F" w:rsidR="00D6510F" w:rsidRPr="001C0878" w:rsidRDefault="00D6510F" w:rsidP="00A574F1">
      <w:pPr>
        <w:pStyle w:val="ListParagraph"/>
        <w:numPr>
          <w:ilvl w:val="0"/>
          <w:numId w:val="10"/>
        </w:numPr>
      </w:pPr>
      <w:r w:rsidRPr="001C0878">
        <w:t xml:space="preserve">While the federal government provided some short-term assistance – such as rent relief programs – those temporary solutions </w:t>
      </w:r>
      <w:r>
        <w:t xml:space="preserve">are </w:t>
      </w:r>
      <w:r w:rsidRPr="001C0878">
        <w:t>expir</w:t>
      </w:r>
      <w:r>
        <w:t>ing and Kentucky is left without housing solutions</w:t>
      </w:r>
      <w:r w:rsidRPr="001C0878">
        <w:t>.</w:t>
      </w:r>
    </w:p>
    <w:p w14:paraId="0CF028B7" w14:textId="77777777" w:rsidR="00D6510F" w:rsidRPr="001C0878" w:rsidRDefault="00D6510F" w:rsidP="00D6510F"/>
    <w:p w14:paraId="74569B11" w14:textId="77777777" w:rsidR="00D6510F" w:rsidRPr="001C0878" w:rsidRDefault="00D6510F" w:rsidP="00D6510F">
      <w:r w:rsidRPr="001C0878">
        <w:rPr>
          <w:b/>
          <w:bCs/>
        </w:rPr>
        <w:t>The SOLUTION:</w:t>
      </w:r>
      <w:r w:rsidRPr="001C0878">
        <w:t xml:space="preserve"> </w:t>
      </w:r>
      <w:r>
        <w:t>Creating a</w:t>
      </w:r>
      <w:r w:rsidRPr="001C0878">
        <w:t xml:space="preserve"> state</w:t>
      </w:r>
      <w:r>
        <w:t xml:space="preserve"> workforce</w:t>
      </w:r>
      <w:r w:rsidRPr="001C0878">
        <w:t xml:space="preserve"> housing tax credit</w:t>
      </w:r>
      <w:r>
        <w:t xml:space="preserve">—which has </w:t>
      </w:r>
      <w:r w:rsidRPr="001C0878">
        <w:t xml:space="preserve">proven </w:t>
      </w:r>
      <w:r>
        <w:t xml:space="preserve">to be successful in many other states—to address the critical shortage of quality housing available at an affordable cost to Kentuckians. </w:t>
      </w:r>
      <w:r w:rsidRPr="001C0878">
        <w:t xml:space="preserve"> </w:t>
      </w:r>
    </w:p>
    <w:p w14:paraId="3987C9EC" w14:textId="77777777" w:rsidR="00D6510F" w:rsidRPr="001C0878" w:rsidRDefault="00D6510F" w:rsidP="00D6510F"/>
    <w:p w14:paraId="295A2832" w14:textId="77777777" w:rsidR="00D6510F" w:rsidRPr="00A574F1" w:rsidRDefault="00D6510F" w:rsidP="00A574F1">
      <w:pPr>
        <w:rPr>
          <w:b/>
          <w:bCs/>
        </w:rPr>
      </w:pPr>
      <w:r w:rsidRPr="00A574F1">
        <w:rPr>
          <w:b/>
          <w:bCs/>
        </w:rPr>
        <w:t>A state workforce housing tax credit could nearly double the number of units produced per year, which would significantly aid in relief from the affordable housing crisis.</w:t>
      </w:r>
    </w:p>
    <w:p w14:paraId="02C4C841" w14:textId="6609FEF7" w:rsidR="00D6510F" w:rsidRPr="001C0878" w:rsidRDefault="00D6510F" w:rsidP="00A574F1">
      <w:pPr>
        <w:pStyle w:val="ListParagraph"/>
        <w:numPr>
          <w:ilvl w:val="0"/>
          <w:numId w:val="10"/>
        </w:numPr>
      </w:pPr>
      <w:r w:rsidRPr="001C0878">
        <w:t xml:space="preserve">Currently, there are federal programs in place to build affordable housing, but resources are limited and in high demand. </w:t>
      </w:r>
    </w:p>
    <w:p w14:paraId="52432108" w14:textId="3F8BBF2A" w:rsidR="00D6510F" w:rsidRPr="001C0878" w:rsidRDefault="00D6510F" w:rsidP="00A574F1">
      <w:pPr>
        <w:pStyle w:val="ListParagraph"/>
        <w:numPr>
          <w:ilvl w:val="0"/>
          <w:numId w:val="10"/>
        </w:numPr>
      </w:pPr>
      <w:r w:rsidRPr="001C0878">
        <w:t xml:space="preserve">It typically takes between 18 months and 2 years to complete the construction process for a multi-family affordable housing development, so the sooner </w:t>
      </w:r>
      <w:r>
        <w:t>Kentucky</w:t>
      </w:r>
      <w:r w:rsidRPr="001C0878">
        <w:t xml:space="preserve"> adopts this credit, the sooner we can see its successes.</w:t>
      </w:r>
    </w:p>
    <w:p w14:paraId="74570B51" w14:textId="77777777" w:rsidR="00D6510F" w:rsidRPr="00A574F1" w:rsidRDefault="00D6510F" w:rsidP="00A574F1">
      <w:pPr>
        <w:rPr>
          <w:b/>
          <w:bCs/>
        </w:rPr>
      </w:pPr>
      <w:r w:rsidRPr="00A574F1">
        <w:rPr>
          <w:b/>
          <w:bCs/>
        </w:rPr>
        <w:t>State housing tax credits have a proven track record in many other states.</w:t>
      </w:r>
    </w:p>
    <w:p w14:paraId="4A5A2A58" w14:textId="77777777" w:rsidR="00D6510F" w:rsidRPr="001C0878" w:rsidRDefault="00D6510F" w:rsidP="00A574F1">
      <w:pPr>
        <w:pStyle w:val="ListParagraph"/>
        <w:numPr>
          <w:ilvl w:val="0"/>
          <w:numId w:val="11"/>
        </w:numPr>
      </w:pPr>
      <w:r w:rsidRPr="001C0878">
        <w:t xml:space="preserve">More than 20 other states have already proven that state </w:t>
      </w:r>
      <w:r>
        <w:t>workforce</w:t>
      </w:r>
      <w:r w:rsidRPr="001C0878">
        <w:t xml:space="preserve"> housing tax credit programs increase production.</w:t>
      </w:r>
    </w:p>
    <w:p w14:paraId="00175EFE" w14:textId="77777777" w:rsidR="00D6510F" w:rsidRPr="001C0878" w:rsidRDefault="00D6510F" w:rsidP="00A574F1">
      <w:pPr>
        <w:pStyle w:val="ListParagraph"/>
        <w:numPr>
          <w:ilvl w:val="0"/>
          <w:numId w:val="11"/>
        </w:numPr>
      </w:pPr>
      <w:r w:rsidRPr="001C0878">
        <w:t>In 2016, Georgia built 1219 units which generated $150 million in local income, $40 million in tax and government revenue and 2,073 jobs.</w:t>
      </w:r>
    </w:p>
    <w:p w14:paraId="3DD6827B" w14:textId="1202ADA3" w:rsidR="00F03CDC" w:rsidRPr="001C0878" w:rsidRDefault="00D6510F" w:rsidP="00EC6979">
      <w:pPr>
        <w:pStyle w:val="ListParagraph"/>
        <w:numPr>
          <w:ilvl w:val="0"/>
          <w:numId w:val="11"/>
        </w:numPr>
      </w:pPr>
      <w:r w:rsidRPr="001C0878">
        <w:t>The use of the tax credit in Colorado in 2016 generated 1,299 units, 3,289 jobs and over $525 million in economic impact.</w:t>
      </w:r>
    </w:p>
    <w:p w14:paraId="73E89222" w14:textId="77777777" w:rsidR="00A574F1" w:rsidRDefault="00D6510F" w:rsidP="00A574F1">
      <w:pPr>
        <w:rPr>
          <w:b/>
          <w:bCs/>
        </w:rPr>
      </w:pPr>
      <w:r w:rsidRPr="00A574F1">
        <w:rPr>
          <w:b/>
          <w:bCs/>
        </w:rPr>
        <w:lastRenderedPageBreak/>
        <w:t>A state workforce housing tax credit would pay for itself.</w:t>
      </w:r>
    </w:p>
    <w:p w14:paraId="05C8B031" w14:textId="7CAD262E" w:rsidR="00D6510F" w:rsidRPr="00A574F1" w:rsidRDefault="00D6510F" w:rsidP="00A574F1">
      <w:pPr>
        <w:pStyle w:val="ListParagraph"/>
        <w:numPr>
          <w:ilvl w:val="0"/>
          <w:numId w:val="11"/>
        </w:numPr>
        <w:rPr>
          <w:b/>
          <w:bCs/>
        </w:rPr>
      </w:pPr>
      <w:r w:rsidRPr="001C0878">
        <w:t xml:space="preserve">Based on projections of $12.5 million in annual credits issued over a 10-year </w:t>
      </w:r>
      <w:r>
        <w:t>coupled</w:t>
      </w:r>
      <w:r w:rsidRPr="001C0878">
        <w:t xml:space="preserve"> with a 5-year sunset indicates increased economic activity in the form of construction, ongoing property operations, increased property values and increased incomes to offset </w:t>
      </w:r>
      <w:r>
        <w:t>Kentucky’s</w:t>
      </w:r>
      <w:r w:rsidRPr="001C0878">
        <w:t xml:space="preserve"> foregone general fund revenues.</w:t>
      </w:r>
    </w:p>
    <w:p w14:paraId="7F1C02C4" w14:textId="08179039" w:rsidR="00D6510F" w:rsidRPr="001C0878" w:rsidRDefault="00D6510F" w:rsidP="00A574F1">
      <w:pPr>
        <w:pStyle w:val="ListParagraph"/>
        <w:numPr>
          <w:ilvl w:val="0"/>
          <w:numId w:val="11"/>
        </w:numPr>
      </w:pPr>
      <w:r w:rsidRPr="001C0878">
        <w:t xml:space="preserve">Construction of 6,559 new affordable housing units would generate an estimated $178.7 million in tax revenues for </w:t>
      </w:r>
      <w:r>
        <w:t>state</w:t>
      </w:r>
      <w:r w:rsidRPr="001C0878">
        <w:t xml:space="preserve"> and local governments. </w:t>
      </w:r>
      <w:r w:rsidRPr="00A574F1">
        <w:rPr>
          <w:i/>
          <w:iCs/>
        </w:rPr>
        <w:t>It will also create approximately 3,539 jobs each year of the program.</w:t>
      </w:r>
    </w:p>
    <w:p w14:paraId="70A31788" w14:textId="17E4B71A" w:rsidR="00D6510F" w:rsidRPr="001C0878" w:rsidRDefault="00D6510F" w:rsidP="00A574F1">
      <w:pPr>
        <w:pStyle w:val="ListParagraph"/>
        <w:numPr>
          <w:ilvl w:val="0"/>
          <w:numId w:val="11"/>
        </w:numPr>
      </w:pPr>
      <w:r w:rsidRPr="001C0878">
        <w:t>$790.2 million of combined construction and operating tax revenues of the program would go to state, county, and local governments.</w:t>
      </w:r>
    </w:p>
    <w:p w14:paraId="3BCA9FD6" w14:textId="11140C63" w:rsidR="00D6510F" w:rsidRPr="00A574F1" w:rsidRDefault="00D6510F" w:rsidP="00A574F1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1C0878">
        <w:t>Additional housing spending and apartment operations would create nearly $20.4 million in ongoing annual tax revenue each year at stabilized occup</w:t>
      </w:r>
      <w:r w:rsidRPr="00A574F1">
        <w:rPr>
          <w:sz w:val="22"/>
          <w:szCs w:val="22"/>
        </w:rPr>
        <w:t xml:space="preserve">ancy. </w:t>
      </w:r>
    </w:p>
    <w:p w14:paraId="6762B014" w14:textId="77777777" w:rsidR="00D6510F" w:rsidRDefault="00D6510F" w:rsidP="00D6510F">
      <w:pPr>
        <w:rPr>
          <w:sz w:val="22"/>
          <w:szCs w:val="22"/>
        </w:rPr>
      </w:pPr>
    </w:p>
    <w:p w14:paraId="5009D937" w14:textId="77777777" w:rsidR="00D6510F" w:rsidRPr="00D6510F" w:rsidRDefault="00D6510F" w:rsidP="00D6510F">
      <w:pPr>
        <w:jc w:val="center"/>
        <w:rPr>
          <w:b/>
          <w:bCs/>
          <w:sz w:val="32"/>
          <w:szCs w:val="32"/>
        </w:rPr>
      </w:pPr>
      <w:r w:rsidRPr="00D6510F">
        <w:rPr>
          <w:b/>
          <w:bCs/>
          <w:sz w:val="32"/>
          <w:szCs w:val="32"/>
        </w:rPr>
        <w:t>Kentucky’s lack of housing solutions has a direct impact on citizens from all walks of life.</w:t>
      </w:r>
    </w:p>
    <w:p w14:paraId="24DEE6AD" w14:textId="77777777" w:rsidR="00D6510F" w:rsidRDefault="00D6510F" w:rsidP="00D6510F">
      <w:pPr>
        <w:rPr>
          <w:b/>
          <w:bCs/>
        </w:rPr>
      </w:pPr>
    </w:p>
    <w:p w14:paraId="16445092" w14:textId="77777777" w:rsidR="00D6510F" w:rsidRPr="0090026F" w:rsidRDefault="00D6510F" w:rsidP="00A574F1">
      <w:r>
        <w:t xml:space="preserve">A variety of </w:t>
      </w:r>
      <w:r w:rsidRPr="0090026F">
        <w:t>individuals and families throughout the Commonwealth</w:t>
      </w:r>
      <w:r>
        <w:t xml:space="preserve"> are</w:t>
      </w:r>
      <w:r w:rsidRPr="0090026F">
        <w:t xml:space="preserve"> in desperate need of </w:t>
      </w:r>
      <w:r w:rsidRPr="00D6510F">
        <w:t>housing solutions. This includes those in today’s workforce, as well as yesterday’s workforce and tomorrow’s workforce:</w:t>
      </w:r>
    </w:p>
    <w:p w14:paraId="55D39CB9" w14:textId="77777777" w:rsidR="00D6510F" w:rsidRPr="0090026F" w:rsidRDefault="00D6510F" w:rsidP="00A574F1">
      <w:pPr>
        <w:pStyle w:val="ListParagraph"/>
        <w:numPr>
          <w:ilvl w:val="0"/>
          <w:numId w:val="12"/>
        </w:numPr>
      </w:pPr>
      <w:r>
        <w:t>Essential</w:t>
      </w:r>
      <w:r w:rsidRPr="0090026F">
        <w:t xml:space="preserve"> workers</w:t>
      </w:r>
      <w:r>
        <w:t>: O</w:t>
      </w:r>
      <w:r w:rsidRPr="0090026F">
        <w:t xml:space="preserve">n certain </w:t>
      </w:r>
      <w:r>
        <w:t>essential</w:t>
      </w:r>
      <w:r w:rsidRPr="0090026F">
        <w:t xml:space="preserve"> workers’ salaries, </w:t>
      </w:r>
      <w:r>
        <w:t xml:space="preserve">especially those early in their careers as teachers, nurses, police and firefighters, affordable </w:t>
      </w:r>
      <w:r w:rsidRPr="0090026F">
        <w:t>housing is not easy to come by</w:t>
      </w:r>
      <w:r>
        <w:t xml:space="preserve"> as housing prices soar.</w:t>
      </w:r>
    </w:p>
    <w:p w14:paraId="32303B13" w14:textId="77777777" w:rsidR="00D6510F" w:rsidRPr="0090026F" w:rsidRDefault="00D6510F" w:rsidP="00A574F1">
      <w:pPr>
        <w:pStyle w:val="ListParagraph"/>
        <w:numPr>
          <w:ilvl w:val="0"/>
          <w:numId w:val="12"/>
        </w:numPr>
      </w:pPr>
      <w:r w:rsidRPr="0090026F">
        <w:t>Elderly</w:t>
      </w:r>
      <w:r>
        <w:t>: M</w:t>
      </w:r>
      <w:r w:rsidRPr="0090026F">
        <w:t>any elderly individuals in our state would sell their homes</w:t>
      </w:r>
      <w:r>
        <w:t>, allowing more inventory to exist for new buyers,</w:t>
      </w:r>
      <w:r w:rsidRPr="0090026F">
        <w:t xml:space="preserve"> but they have nowhere ideal to go for a reasonable rate.</w:t>
      </w:r>
      <w:r>
        <w:t xml:space="preserve"> </w:t>
      </w:r>
    </w:p>
    <w:p w14:paraId="7F5727E2" w14:textId="77777777" w:rsidR="00D6510F" w:rsidRDefault="00D6510F" w:rsidP="00A574F1">
      <w:pPr>
        <w:pStyle w:val="ListParagraph"/>
        <w:numPr>
          <w:ilvl w:val="0"/>
          <w:numId w:val="12"/>
        </w:numPr>
      </w:pPr>
      <w:r>
        <w:t>Young Kentuckians: M</w:t>
      </w:r>
      <w:r w:rsidRPr="0090026F">
        <w:t xml:space="preserve">any young </w:t>
      </w:r>
      <w:r>
        <w:t xml:space="preserve">Kentuckians </w:t>
      </w:r>
      <w:r w:rsidRPr="0090026F">
        <w:t>need</w:t>
      </w:r>
      <w:r>
        <w:t xml:space="preserve"> housing solutions as well. W</w:t>
      </w:r>
      <w:r w:rsidRPr="0090026F">
        <w:t xml:space="preserve">hether they are the child of a single parent working to make ends meet, or a </w:t>
      </w:r>
      <w:r>
        <w:t>child aging out of the foster care system, the burden of finding somewhere to live at an affordable price should not be on their list of “to-do’s.”</w:t>
      </w:r>
    </w:p>
    <w:p w14:paraId="4DA1FD17" w14:textId="6958849E" w:rsidR="00D6510F" w:rsidRDefault="00D6510F" w:rsidP="00A574F1">
      <w:pPr>
        <w:pStyle w:val="ListParagraph"/>
        <w:numPr>
          <w:ilvl w:val="0"/>
          <w:numId w:val="12"/>
        </w:numPr>
      </w:pPr>
      <w:r>
        <w:t xml:space="preserve">Veterans – Our nation’s heroes can struggle to find housing that suits their financial needs, unnecessarily adding a significant burden to America’s best. </w:t>
      </w:r>
    </w:p>
    <w:p w14:paraId="03E49CBC" w14:textId="77777777" w:rsidR="00F03CDC" w:rsidRDefault="00F03CDC" w:rsidP="00F03CDC">
      <w:pPr>
        <w:pStyle w:val="ListParagraph"/>
        <w:ind w:left="360"/>
      </w:pPr>
    </w:p>
    <w:p w14:paraId="5A773C16" w14:textId="77777777" w:rsidR="00D6510F" w:rsidRPr="00A574F1" w:rsidRDefault="00D6510F" w:rsidP="00A574F1">
      <w:pPr>
        <w:rPr>
          <w:b/>
          <w:bCs/>
        </w:rPr>
      </w:pPr>
      <w:r w:rsidRPr="00A574F1">
        <w:rPr>
          <w:b/>
          <w:bCs/>
        </w:rPr>
        <w:t xml:space="preserve">Every area of the state can benefit from more affordable housing. </w:t>
      </w:r>
    </w:p>
    <w:p w14:paraId="2B4904F1" w14:textId="4A55395B" w:rsidR="00D6510F" w:rsidRDefault="00D6510F" w:rsidP="00A574F1">
      <w:pPr>
        <w:pStyle w:val="ListParagraph"/>
        <w:numPr>
          <w:ilvl w:val="0"/>
          <w:numId w:val="13"/>
        </w:numPr>
      </w:pPr>
      <w:r w:rsidRPr="0090026F">
        <w:t xml:space="preserve">From </w:t>
      </w:r>
      <w:r>
        <w:t>Paducah to Pikeville</w:t>
      </w:r>
      <w:r w:rsidRPr="0090026F">
        <w:t xml:space="preserve">, </w:t>
      </w:r>
      <w:r>
        <w:t>residents across the state need</w:t>
      </w:r>
      <w:r w:rsidRPr="0090026F">
        <w:t xml:space="preserve"> housing solutions t</w:t>
      </w:r>
      <w:r>
        <w:t xml:space="preserve">hat empower them to get </w:t>
      </w:r>
      <w:r w:rsidRPr="0090026F">
        <w:t>out of the “red” and able to take better care of themselves and their families</w:t>
      </w:r>
      <w:r>
        <w:t>.</w:t>
      </w:r>
    </w:p>
    <w:p w14:paraId="42862430" w14:textId="2E6BCAD8" w:rsidR="00F03CDC" w:rsidRDefault="00F03CDC" w:rsidP="00F03CDC"/>
    <w:p w14:paraId="4AEE15AF" w14:textId="5BEF757F" w:rsidR="00F03CDC" w:rsidRPr="00C23448" w:rsidRDefault="00C23448" w:rsidP="00C23448">
      <w:pPr>
        <w:jc w:val="center"/>
        <w:rPr>
          <w:i/>
          <w:iCs/>
        </w:rPr>
      </w:pPr>
      <w:r>
        <w:rPr>
          <w:i/>
          <w:iCs/>
        </w:rPr>
        <w:t>Please v</w:t>
      </w:r>
      <w:r w:rsidRPr="00C23448">
        <w:rPr>
          <w:i/>
          <w:iCs/>
        </w:rPr>
        <w:t>isit the</w:t>
      </w:r>
      <w:r w:rsidR="00F03CDC" w:rsidRPr="00C23448">
        <w:rPr>
          <w:i/>
          <w:iCs/>
        </w:rPr>
        <w:t xml:space="preserve"> CAHS website at www.housingsolutionsky.com for</w:t>
      </w:r>
      <w:r w:rsidRPr="00C23448">
        <w:rPr>
          <w:i/>
          <w:iCs/>
        </w:rPr>
        <w:t xml:space="preserve"> </w:t>
      </w:r>
      <w:r w:rsidR="00F03CDC" w:rsidRPr="00C23448">
        <w:rPr>
          <w:i/>
          <w:iCs/>
        </w:rPr>
        <w:t>details and to see our growing list of more than 45 member organizations and individuals committed to our mission.</w:t>
      </w:r>
    </w:p>
    <w:p w14:paraId="2B4F4913" w14:textId="4AD53191" w:rsidR="00D6510F" w:rsidRDefault="00F03CDC" w:rsidP="00D6510F">
      <w:r w:rsidRPr="001C78BA">
        <w:rPr>
          <w:b/>
          <w:bCs/>
          <w:noProof/>
        </w:rPr>
        <w:drawing>
          <wp:anchor distT="0" distB="0" distL="114300" distR="114300" simplePos="0" relativeHeight="251660288" behindDoc="1" locked="0" layoutInCell="1" allowOverlap="1" wp14:anchorId="56CE1966" wp14:editId="6ABF5CA6">
            <wp:simplePos x="0" y="0"/>
            <wp:positionH relativeFrom="column">
              <wp:posOffset>2275799</wp:posOffset>
            </wp:positionH>
            <wp:positionV relativeFrom="paragraph">
              <wp:posOffset>56853</wp:posOffset>
            </wp:positionV>
            <wp:extent cx="1047750" cy="936625"/>
            <wp:effectExtent l="0" t="0" r="6350" b="3175"/>
            <wp:wrapNone/>
            <wp:docPr id="2" name="Picture 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936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AF554F" w14:textId="520FFFCD" w:rsidR="00905B6C" w:rsidRDefault="0088546A"/>
    <w:sectPr w:rsidR="00905B6C" w:rsidSect="00C869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A617A"/>
    <w:multiLevelType w:val="hybridMultilevel"/>
    <w:tmpl w:val="C31A31DA"/>
    <w:lvl w:ilvl="0" w:tplc="670460F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E3202"/>
    <w:multiLevelType w:val="hybridMultilevel"/>
    <w:tmpl w:val="BCC8E7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865FC"/>
    <w:multiLevelType w:val="hybridMultilevel"/>
    <w:tmpl w:val="9DFC7410"/>
    <w:lvl w:ilvl="0" w:tplc="3D9011C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712B1"/>
    <w:multiLevelType w:val="hybridMultilevel"/>
    <w:tmpl w:val="974CE79C"/>
    <w:lvl w:ilvl="0" w:tplc="3D9011C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56CB6"/>
    <w:multiLevelType w:val="hybridMultilevel"/>
    <w:tmpl w:val="C4EC33DC"/>
    <w:lvl w:ilvl="0" w:tplc="670460F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C61A86"/>
    <w:multiLevelType w:val="hybridMultilevel"/>
    <w:tmpl w:val="7312EB5E"/>
    <w:lvl w:ilvl="0" w:tplc="D78A5BB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33712B"/>
    <w:multiLevelType w:val="hybridMultilevel"/>
    <w:tmpl w:val="B26ECE88"/>
    <w:lvl w:ilvl="0" w:tplc="670460F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6B5048"/>
    <w:multiLevelType w:val="hybridMultilevel"/>
    <w:tmpl w:val="DA84BB7C"/>
    <w:lvl w:ilvl="0" w:tplc="3D9011C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6D097D"/>
    <w:multiLevelType w:val="hybridMultilevel"/>
    <w:tmpl w:val="421CA6BA"/>
    <w:lvl w:ilvl="0" w:tplc="D78A5B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7C1B57"/>
    <w:multiLevelType w:val="hybridMultilevel"/>
    <w:tmpl w:val="08A275D6"/>
    <w:lvl w:ilvl="0" w:tplc="D78A5B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FA7E47"/>
    <w:multiLevelType w:val="hybridMultilevel"/>
    <w:tmpl w:val="9AF2C03A"/>
    <w:lvl w:ilvl="0" w:tplc="670460F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246543"/>
    <w:multiLevelType w:val="hybridMultilevel"/>
    <w:tmpl w:val="F26A94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77B5647"/>
    <w:multiLevelType w:val="hybridMultilevel"/>
    <w:tmpl w:val="3F0AD294"/>
    <w:lvl w:ilvl="0" w:tplc="D78A5B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2"/>
  </w:num>
  <w:num w:numId="5">
    <w:abstractNumId w:val="10"/>
  </w:num>
  <w:num w:numId="6">
    <w:abstractNumId w:val="6"/>
  </w:num>
  <w:num w:numId="7">
    <w:abstractNumId w:val="0"/>
  </w:num>
  <w:num w:numId="8">
    <w:abstractNumId w:val="11"/>
  </w:num>
  <w:num w:numId="9">
    <w:abstractNumId w:val="1"/>
  </w:num>
  <w:num w:numId="10">
    <w:abstractNumId w:val="8"/>
  </w:num>
  <w:num w:numId="11">
    <w:abstractNumId w:val="9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10F"/>
    <w:rsid w:val="003015EB"/>
    <w:rsid w:val="0088546A"/>
    <w:rsid w:val="00967FA4"/>
    <w:rsid w:val="009D2AD7"/>
    <w:rsid w:val="00A574F1"/>
    <w:rsid w:val="00C23448"/>
    <w:rsid w:val="00C86929"/>
    <w:rsid w:val="00CD5AFA"/>
    <w:rsid w:val="00D563EF"/>
    <w:rsid w:val="00D6510F"/>
    <w:rsid w:val="00EC6979"/>
    <w:rsid w:val="00F0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5BCD95"/>
  <w15:chartTrackingRefBased/>
  <w15:docId w15:val="{A7574750-25FE-8946-93B5-68D3AB389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1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10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651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51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51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74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74F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03CD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03C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0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23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714</Words>
  <Characters>4076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Jane Rodes</dc:creator>
  <cp:keywords/>
  <dc:description/>
  <cp:lastModifiedBy>Allen, Sasche (LRC)</cp:lastModifiedBy>
  <cp:revision>2</cp:revision>
  <dcterms:created xsi:type="dcterms:W3CDTF">2021-09-22T20:21:00Z</dcterms:created>
  <dcterms:modified xsi:type="dcterms:W3CDTF">2021-09-22T20:21:00Z</dcterms:modified>
</cp:coreProperties>
</file>