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BA5" w:rsidRDefault="0033298E">
      <w:pPr>
        <w:pStyle w:val="Heading1"/>
        <w:ind w:firstLine="0"/>
        <w:rPr>
          <w:rFonts w:ascii="Times New Roman" w:hAnsi="Times New Roman"/>
        </w:rPr>
      </w:pPr>
      <w:bookmarkStart w:id="0" w:name="cmte"/>
      <w:bookmarkStart w:id="1" w:name="_GoBack"/>
      <w:bookmarkEnd w:id="0"/>
      <w:bookmarkEnd w:id="1"/>
      <w:r>
        <w:rPr>
          <w:rFonts w:ascii="Times New Roman" w:hAnsi="Times New Roman"/>
        </w:rPr>
        <w:t>Public Water and Wastewater System Infrastructure Task Force</w:t>
      </w:r>
    </w:p>
    <w:p w:rsidR="000A6BA5" w:rsidRDefault="000A6BA5">
      <w:pPr>
        <w:pStyle w:val="Heading1"/>
        <w:ind w:firstLine="0"/>
        <w:rPr>
          <w:rFonts w:ascii="Times New Roman" w:hAnsi="Times New Roman"/>
        </w:rPr>
      </w:pPr>
    </w:p>
    <w:p w:rsidR="000A6BA5" w:rsidRDefault="000A6BA5">
      <w:pPr>
        <w:pStyle w:val="Heading3"/>
        <w:ind w:firstLine="0"/>
        <w:rPr>
          <w:rFonts w:ascii="Times New Roman" w:hAnsi="Times New Roman"/>
        </w:rPr>
      </w:pPr>
      <w:r>
        <w:rPr>
          <w:rFonts w:ascii="Times New Roman" w:hAnsi="Times New Roman"/>
        </w:rPr>
        <w:t>Minutes of the</w:t>
      </w:r>
      <w:r>
        <w:rPr>
          <w:rFonts w:ascii="Times New Roman" w:hAnsi="Times New Roman"/>
          <w:vanish/>
          <w:sz w:val="10"/>
        </w:rPr>
        <w:t>&lt;MeetNo1&gt;</w:t>
      </w:r>
      <w:r>
        <w:rPr>
          <w:rFonts w:ascii="Times New Roman" w:hAnsi="Times New Roman"/>
        </w:rPr>
        <w:t xml:space="preserve"> </w:t>
      </w:r>
      <w:bookmarkStart w:id="2" w:name="MeetNo1"/>
      <w:bookmarkEnd w:id="2"/>
      <w:r w:rsidR="0033298E">
        <w:rPr>
          <w:rFonts w:ascii="Times New Roman" w:hAnsi="Times New Roman"/>
        </w:rPr>
        <w:t>3rd</w:t>
      </w:r>
      <w:r>
        <w:rPr>
          <w:rFonts w:ascii="Times New Roman" w:hAnsi="Times New Roman"/>
        </w:rPr>
        <w:t xml:space="preserve"> Meeting</w:t>
      </w:r>
    </w:p>
    <w:p w:rsidR="000A6BA5" w:rsidRDefault="000A6BA5">
      <w:pPr>
        <w:pStyle w:val="Heading3"/>
        <w:ind w:firstLine="0"/>
        <w:rPr>
          <w:rFonts w:ascii="Times New Roman" w:hAnsi="Times New Roman"/>
        </w:rPr>
      </w:pPr>
      <w:r>
        <w:rPr>
          <w:rFonts w:ascii="Times New Roman" w:hAnsi="Times New Roman"/>
        </w:rPr>
        <w:t xml:space="preserve">of the </w:t>
      </w:r>
      <w:bookmarkStart w:id="3" w:name="IntRecYr"/>
      <w:bookmarkEnd w:id="3"/>
      <w:r w:rsidR="0033298E">
        <w:rPr>
          <w:rFonts w:ascii="Times New Roman" w:hAnsi="Times New Roman"/>
        </w:rPr>
        <w:t>2019</w:t>
      </w:r>
      <w:r>
        <w:rPr>
          <w:rFonts w:ascii="Times New Roman" w:hAnsi="Times New Roman"/>
        </w:rPr>
        <w:t xml:space="preserve"> Interim</w:t>
      </w:r>
    </w:p>
    <w:p w:rsidR="000A6BA5" w:rsidRDefault="000A6BA5">
      <w:pPr>
        <w:pStyle w:val="Heading3"/>
        <w:ind w:firstLine="0"/>
        <w:rPr>
          <w:rFonts w:ascii="Times New Roman" w:hAnsi="Times New Roman"/>
        </w:rPr>
      </w:pPr>
    </w:p>
    <w:p w:rsidR="000A6BA5" w:rsidRDefault="000A6BA5">
      <w:pPr>
        <w:pStyle w:val="Heading3"/>
        <w:ind w:firstLine="0"/>
        <w:rPr>
          <w:rFonts w:ascii="Times New Roman" w:hAnsi="Times New Roman"/>
        </w:rPr>
      </w:pPr>
      <w:r>
        <w:rPr>
          <w:rFonts w:ascii="Times New Roman" w:hAnsi="Times New Roman"/>
          <w:vanish/>
          <w:sz w:val="10"/>
        </w:rPr>
        <w:t>&lt;MeetMDY1&gt;</w:t>
      </w:r>
      <w:r>
        <w:rPr>
          <w:rFonts w:ascii="Times New Roman" w:hAnsi="Times New Roman"/>
        </w:rPr>
        <w:t xml:space="preserve"> </w:t>
      </w:r>
      <w:bookmarkStart w:id="4" w:name="MeetMDY1"/>
      <w:bookmarkEnd w:id="4"/>
      <w:r w:rsidR="0033298E">
        <w:rPr>
          <w:rFonts w:ascii="Times New Roman" w:hAnsi="Times New Roman"/>
        </w:rPr>
        <w:t xml:space="preserve">September </w:t>
      </w:r>
      <w:r w:rsidR="00EB783A">
        <w:rPr>
          <w:rFonts w:ascii="Times New Roman" w:hAnsi="Times New Roman"/>
        </w:rPr>
        <w:t>18</w:t>
      </w:r>
      <w:r w:rsidR="0033298E">
        <w:rPr>
          <w:rFonts w:ascii="Times New Roman" w:hAnsi="Times New Roman"/>
        </w:rPr>
        <w:t>, 2019</w:t>
      </w:r>
      <w:r>
        <w:rPr>
          <w:rFonts w:ascii="Times New Roman" w:hAnsi="Times New Roman"/>
        </w:rPr>
        <w:t xml:space="preserve"> </w:t>
      </w:r>
    </w:p>
    <w:p w:rsidR="000A6BA5" w:rsidRDefault="000A6BA5">
      <w:pPr>
        <w:pStyle w:val="Heading3"/>
        <w:ind w:firstLine="0"/>
        <w:rPr>
          <w:rFonts w:ascii="Times New Roman" w:hAnsi="Times New Roman"/>
        </w:rPr>
      </w:pPr>
    </w:p>
    <w:p w:rsidR="00B1063C" w:rsidRPr="002F0881" w:rsidRDefault="00B1063C">
      <w:pPr>
        <w:rPr>
          <w:b/>
        </w:rPr>
      </w:pPr>
      <w:r w:rsidRPr="002F0881">
        <w:rPr>
          <w:b/>
        </w:rPr>
        <w:t>Call to Order and Roll Call</w:t>
      </w:r>
    </w:p>
    <w:p w:rsidR="000A6BA5" w:rsidRDefault="000A6BA5">
      <w:r>
        <w:t>The</w:t>
      </w:r>
      <w:r>
        <w:rPr>
          <w:vanish/>
          <w:sz w:val="10"/>
        </w:rPr>
        <w:t>&lt;MeetNo2&gt;</w:t>
      </w:r>
      <w:r>
        <w:t xml:space="preserve"> </w:t>
      </w:r>
      <w:bookmarkStart w:id="5" w:name="MeetNo2"/>
      <w:bookmarkEnd w:id="5"/>
      <w:r w:rsidR="0033298E">
        <w:t>3rd</w:t>
      </w:r>
      <w:r>
        <w:t xml:space="preserve"> meeting of the </w:t>
      </w:r>
      <w:bookmarkStart w:id="6" w:name="cmte2"/>
      <w:bookmarkEnd w:id="6"/>
      <w:r w:rsidR="0033298E">
        <w:t>Public Water and Wastewater System Infrastructure Task Force</w:t>
      </w:r>
      <w:r>
        <w:t xml:space="preserve"> was held on</w:t>
      </w:r>
      <w:r>
        <w:rPr>
          <w:vanish/>
          <w:sz w:val="10"/>
        </w:rPr>
        <w:t>&lt;Day&gt;</w:t>
      </w:r>
      <w:r>
        <w:t xml:space="preserve"> </w:t>
      </w:r>
      <w:bookmarkStart w:id="7" w:name="Day"/>
      <w:bookmarkEnd w:id="7"/>
      <w:r w:rsidR="0033298E">
        <w:t>Monday</w:t>
      </w:r>
      <w:r>
        <w:t>,</w:t>
      </w:r>
      <w:r>
        <w:rPr>
          <w:vanish/>
          <w:sz w:val="10"/>
        </w:rPr>
        <w:t>&lt;MeetMDY2&gt;</w:t>
      </w:r>
      <w:r>
        <w:t xml:space="preserve"> </w:t>
      </w:r>
      <w:bookmarkStart w:id="8" w:name="MeetMDY2"/>
      <w:bookmarkEnd w:id="8"/>
      <w:r w:rsidR="0033298E">
        <w:t xml:space="preserve">September </w:t>
      </w:r>
      <w:r w:rsidR="00EB783A">
        <w:t>18</w:t>
      </w:r>
      <w:r w:rsidR="0033298E">
        <w:t>, 2019</w:t>
      </w:r>
      <w:r>
        <w:t>, at</w:t>
      </w:r>
      <w:r>
        <w:rPr>
          <w:vanish/>
          <w:sz w:val="10"/>
        </w:rPr>
        <w:t>&lt;MeetTime&gt;</w:t>
      </w:r>
      <w:r>
        <w:t xml:space="preserve"> </w:t>
      </w:r>
      <w:bookmarkStart w:id="9" w:name="MeetTime"/>
      <w:bookmarkEnd w:id="9"/>
      <w:r w:rsidR="0033298E">
        <w:t>1:00 PM</w:t>
      </w:r>
      <w:r>
        <w:t>, in</w:t>
      </w:r>
      <w:r>
        <w:rPr>
          <w:vanish/>
          <w:sz w:val="10"/>
        </w:rPr>
        <w:t>&lt;Room&gt;</w:t>
      </w:r>
      <w:r>
        <w:t xml:space="preserve"> </w:t>
      </w:r>
      <w:bookmarkStart w:id="10" w:name="Room"/>
      <w:bookmarkEnd w:id="10"/>
      <w:r w:rsidR="0033298E">
        <w:t>Room 129 of the Capitol Annex</w:t>
      </w:r>
      <w:r>
        <w:t xml:space="preserve">. </w:t>
      </w:r>
      <w:bookmarkStart w:id="11" w:name="pchair"/>
      <w:bookmarkEnd w:id="11"/>
      <w:r w:rsidR="0033298E">
        <w:t>Representative Jim Gooch Jr., Chair</w:t>
      </w:r>
      <w:r>
        <w:t>, called the meeting to order, and the secretary called the roll.</w:t>
      </w:r>
    </w:p>
    <w:p w:rsidR="000A6BA5" w:rsidRDefault="000A6BA5"/>
    <w:p w:rsidR="000A6BA5" w:rsidRDefault="000A6BA5">
      <w:r>
        <w:t>Present were:</w:t>
      </w:r>
    </w:p>
    <w:p w:rsidR="000A6BA5" w:rsidRDefault="000A6BA5"/>
    <w:p w:rsidR="000A6BA5" w:rsidRDefault="000A6BA5">
      <w:r>
        <w:rPr>
          <w:u w:val="single"/>
        </w:rPr>
        <w:t>Members:</w:t>
      </w:r>
      <w:r>
        <w:rPr>
          <w:vanish/>
          <w:sz w:val="10"/>
          <w:u w:val="single"/>
        </w:rPr>
        <w:t>&lt;Members&gt;</w:t>
      </w:r>
      <w:r>
        <w:t xml:space="preserve"> </w:t>
      </w:r>
      <w:bookmarkStart w:id="12" w:name="Members"/>
      <w:bookmarkEnd w:id="12"/>
      <w:r w:rsidR="0033298E">
        <w:t xml:space="preserve">Senator Phillip Wheeler, Co-Chair; Representative Jim Gooch Jr., Co-Chair; Senator Robin L. Webb; Representatives Derek Lewis and Ashley Tackett Laferty; Mike Gardner, Peter Goodmann, Orbrey Gritton, Gary Larimore, </w:t>
      </w:r>
      <w:r w:rsidR="001305ED">
        <w:t xml:space="preserve">and </w:t>
      </w:r>
      <w:r w:rsidR="0033298E">
        <w:t>Donna McNeil</w:t>
      </w:r>
      <w:r>
        <w:t>.</w:t>
      </w:r>
    </w:p>
    <w:p w:rsidR="000A6BA5" w:rsidRDefault="000A6BA5"/>
    <w:p w:rsidR="000A6BA5" w:rsidRDefault="000A6BA5">
      <w:r>
        <w:rPr>
          <w:u w:val="single"/>
        </w:rPr>
        <w:t>Guests:</w:t>
      </w:r>
      <w:r>
        <w:t xml:space="preserve">  </w:t>
      </w:r>
      <w:r w:rsidR="001305ED">
        <w:t xml:space="preserve">Robert F. Powelson, President and Chief </w:t>
      </w:r>
      <w:r w:rsidR="0083385E">
        <w:t>Executive</w:t>
      </w:r>
      <w:r w:rsidR="001305ED">
        <w:t xml:space="preserve"> Office</w:t>
      </w:r>
      <w:r w:rsidR="00702C5D">
        <w:t>r</w:t>
      </w:r>
      <w:r w:rsidR="001305ED">
        <w:t xml:space="preserve">, National Association of Water Companies, Sandy Neal, Director of Business Development, </w:t>
      </w:r>
      <w:r w:rsidR="00BC5DC0">
        <w:t xml:space="preserve">Bluegrass Water Utility Operating Company, Todd Thomas, Bluegrass Water Utility Operating Company, and John Greer, Utility Specialist, Tennessee Comptroller of the Treasury. </w:t>
      </w:r>
    </w:p>
    <w:p w:rsidR="000A6BA5" w:rsidRDefault="000A6BA5"/>
    <w:p w:rsidR="000A6BA5" w:rsidRDefault="000A6BA5">
      <w:r>
        <w:rPr>
          <w:u w:val="single"/>
        </w:rPr>
        <w:t>LRC Staff:</w:t>
      </w:r>
      <w:r>
        <w:t xml:space="preserve">  </w:t>
      </w:r>
      <w:bookmarkStart w:id="13" w:name="cmtestaff"/>
      <w:bookmarkEnd w:id="13"/>
      <w:r w:rsidR="0033298E">
        <w:t xml:space="preserve">Stefan Kasacavage, Janine Coy-Geeslin, Tanya Monsanto, </w:t>
      </w:r>
      <w:r w:rsidR="00702C5D">
        <w:t xml:space="preserve">and </w:t>
      </w:r>
      <w:r w:rsidR="0033298E">
        <w:t>Susan Spoonamore, Committee Assistant.</w:t>
      </w:r>
    </w:p>
    <w:p w:rsidR="00BC5DC0" w:rsidRDefault="00BC5DC0">
      <w:r>
        <w:t>The August 28, 2019</w:t>
      </w:r>
      <w:r w:rsidR="00702C5D">
        <w:t>,</w:t>
      </w:r>
      <w:r>
        <w:t xml:space="preserve"> minutes were approved, by voice vote, upon motion made by Representative Lewis and seconded by Senator Wheeler. </w:t>
      </w:r>
    </w:p>
    <w:p w:rsidR="00BC5DC0" w:rsidRDefault="00BC5DC0"/>
    <w:p w:rsidR="00BC5DC0" w:rsidRDefault="00BC5DC0">
      <w:r>
        <w:rPr>
          <w:b/>
        </w:rPr>
        <w:t>Investing in Kentucky’s Water and Wastewater Infrastructure</w:t>
      </w:r>
    </w:p>
    <w:p w:rsidR="00BC5DC0" w:rsidRDefault="00BC5DC0">
      <w:r>
        <w:t>Robert Powelson, President and Chief Executive Office</w:t>
      </w:r>
      <w:r w:rsidR="00702C5D">
        <w:t>r</w:t>
      </w:r>
      <w:r>
        <w:t xml:space="preserve">, National Association of Water Companies, </w:t>
      </w:r>
      <w:r w:rsidR="00152E28">
        <w:t xml:space="preserve">said that nationally, there are some chronic failures facing the water grid. He stated that his message is about ways to create consolidation so private capital can be deployed to solve some of the </w:t>
      </w:r>
      <w:r w:rsidR="0083385E">
        <w:t>big</w:t>
      </w:r>
      <w:r w:rsidR="00152E28">
        <w:t xml:space="preserve"> problems with water systems. </w:t>
      </w:r>
      <w:r w:rsidR="00702C5D">
        <w:t>The latest infrastructure assessment reports identify a</w:t>
      </w:r>
      <w:r w:rsidR="00152E28">
        <w:t xml:space="preserve"> $14 billion infrastructure funding gap for water and wastewater infrastructure in the Commonwealth of Kentucky. </w:t>
      </w:r>
    </w:p>
    <w:p w:rsidR="00152E28" w:rsidRDefault="00152E28"/>
    <w:p w:rsidR="00152E28" w:rsidRDefault="00152E28">
      <w:r>
        <w:t xml:space="preserve">Mr. Powelson said that there are 52,000 water systems in the United States and 85 percent of those systems are run by municipalities. </w:t>
      </w:r>
      <w:r w:rsidR="00702C5D">
        <w:t>T</w:t>
      </w:r>
      <w:r>
        <w:t xml:space="preserve">here are approximately 1,500 drinking water systems deemed in violation of the Safe Water Act. </w:t>
      </w:r>
      <w:r w:rsidR="00702C5D">
        <w:t>T</w:t>
      </w:r>
      <w:r w:rsidR="00810991">
        <w:t xml:space="preserve">he big challenge facing water systems is how to address what is actually a national problem. The American Society of </w:t>
      </w:r>
      <w:r w:rsidR="00810991">
        <w:lastRenderedPageBreak/>
        <w:t xml:space="preserve">Civil Engineers (ASCE) </w:t>
      </w:r>
      <w:r w:rsidR="0083385E">
        <w:t>gave</w:t>
      </w:r>
      <w:r w:rsidR="00810991">
        <w:t xml:space="preserve"> the United States wastewater grid a D. The largest issue facing states is how to maintain viable sustainable water service to communities. </w:t>
      </w:r>
      <w:r w:rsidR="00C36C43">
        <w:t>A</w:t>
      </w:r>
      <w:r w:rsidR="00810991">
        <w:t>ccording to the ASCE, it will take $4.5 trillion by 2025 to fix and or maintain</w:t>
      </w:r>
      <w:r w:rsidR="00783E00">
        <w:t xml:space="preserve"> viable sustainable water services. As a result of </w:t>
      </w:r>
      <w:r w:rsidR="00702C5D">
        <w:t>insufficient</w:t>
      </w:r>
      <w:r w:rsidR="00783E00">
        <w:t xml:space="preserve"> infrastructure, increased </w:t>
      </w:r>
      <w:r w:rsidR="00702C5D">
        <w:t xml:space="preserve">cost of </w:t>
      </w:r>
      <w:r w:rsidR="00783E00">
        <w:t>regulatory compliance, shrinking state budgets, limited bonding capacity</w:t>
      </w:r>
      <w:r w:rsidR="00702C5D">
        <w:t>,</w:t>
      </w:r>
      <w:r w:rsidR="00783E00">
        <w:t xml:space="preserve"> and limited government funds, many small and midsize utilities are choosing to sell their water and wastewater systems. </w:t>
      </w:r>
    </w:p>
    <w:p w:rsidR="00783E00" w:rsidRDefault="00783E00"/>
    <w:p w:rsidR="00783E00" w:rsidRDefault="00783E00">
      <w:r>
        <w:t xml:space="preserve">Mr. Powelson said that over the next 20 years, Kentucky water systems will be facing $8.23 billion in drinking water infrastructure needs and $6.24 billion in wastewater </w:t>
      </w:r>
      <w:r w:rsidR="0083385E">
        <w:t>infrastructure</w:t>
      </w:r>
      <w:r>
        <w:t xml:space="preserve"> needs.</w:t>
      </w:r>
      <w:r w:rsidR="00694462">
        <w:t xml:space="preserve"> </w:t>
      </w:r>
      <w:r w:rsidR="00702C5D">
        <w:t>A</w:t>
      </w:r>
      <w:r w:rsidR="00694462">
        <w:t xml:space="preserve">ccording </w:t>
      </w:r>
      <w:r w:rsidR="00702C5D">
        <w:t xml:space="preserve">to </w:t>
      </w:r>
      <w:r w:rsidR="00694462">
        <w:t xml:space="preserve">the Associated General Contractors of America, every $1 billion invested for water infrastructure would support 28,500 jobs. </w:t>
      </w:r>
      <w:r w:rsidR="00702C5D">
        <w:t>I</w:t>
      </w:r>
      <w:r w:rsidR="00694462">
        <w:t>n 1974, Kentucky had approximately 2,100 public water systems and now there are roughly 437 systems. America</w:t>
      </w:r>
      <w:r w:rsidR="00F35B96">
        <w:t>n</w:t>
      </w:r>
      <w:r w:rsidR="00694462">
        <w:t xml:space="preserve"> Water had invested heavily in the</w:t>
      </w:r>
      <w:r w:rsidR="00702C5D">
        <w:t>ir</w:t>
      </w:r>
      <w:r w:rsidR="00694462">
        <w:t xml:space="preserve"> </w:t>
      </w:r>
      <w:r w:rsidR="0083385E">
        <w:t>research and development</w:t>
      </w:r>
      <w:r w:rsidR="00694462">
        <w:t xml:space="preserve"> operation by using predictive </w:t>
      </w:r>
      <w:r w:rsidR="00586E56">
        <w:t>analytics</w:t>
      </w:r>
      <w:r w:rsidR="00190F67">
        <w:t>. American Water ha</w:t>
      </w:r>
      <w:r w:rsidR="00F07E4E">
        <w:t>d</w:t>
      </w:r>
      <w:r w:rsidR="00190F67">
        <w:t xml:space="preserve"> also done a great job of replacing infrastructure and delivering on safety, reliability</w:t>
      </w:r>
      <w:r w:rsidR="00702C5D">
        <w:t>,</w:t>
      </w:r>
      <w:r w:rsidR="00190F67">
        <w:t xml:space="preserve"> and affordability to their customers. If Kentucky continued to move towards regionalization of water and wastewater assets, it could create 410,000 potential jobs.</w:t>
      </w:r>
      <w:r w:rsidR="00F35B96">
        <w:t xml:space="preserve"> </w:t>
      </w:r>
      <w:r w:rsidR="00C36C43">
        <w:t>G</w:t>
      </w:r>
      <w:r w:rsidR="00F35B96">
        <w:t>rid modernization drives job investment</w:t>
      </w:r>
      <w:r w:rsidR="00702C5D">
        <w:t>,</w:t>
      </w:r>
      <w:r w:rsidR="00F35B96">
        <w:t xml:space="preserve"> and it also addresses reliability and safety metrics for industrial, small business, and residential customers. </w:t>
      </w:r>
    </w:p>
    <w:p w:rsidR="00F35B96" w:rsidRDefault="00F35B96"/>
    <w:p w:rsidR="00F35B96" w:rsidRDefault="00C36C43">
      <w:r>
        <w:t>I</w:t>
      </w:r>
      <w:r w:rsidR="00F35B96">
        <w:t>n order to help municipalities capitalize their assets, Kentucky must first enact Fair Market Value (FMV) legislation.</w:t>
      </w:r>
      <w:r w:rsidR="00E62A79">
        <w:t xml:space="preserve"> FMV legislation would establish a transparent process for independent valuation experts to calculate a reasonable and fair value for a water system’s assets subject to approval of the Public Service Commission. It is a voluntary program that would allow water and wastewater systems to maximize the value of their assets. </w:t>
      </w:r>
      <w:r>
        <w:t>I</w:t>
      </w:r>
      <w:r w:rsidR="00E62A79">
        <w:t xml:space="preserve">t would also create a straightforward process for determining the actual value of an asset. </w:t>
      </w:r>
      <w:r>
        <w:t>U</w:t>
      </w:r>
      <w:r w:rsidR="00E62A79">
        <w:t>nder the FMV program, it would allow a willing seller and a willing buyer to agree on a purchase price</w:t>
      </w:r>
      <w:r w:rsidR="0083385E">
        <w:t xml:space="preserve">. The seller and the buyer would choose an independent appraiser, then those two appraisers would choose a third appraiser, by mutual agreement. All three appraisers </w:t>
      </w:r>
      <w:r w:rsidR="00474CF1">
        <w:t xml:space="preserve">have to be certified and </w:t>
      </w:r>
      <w:r w:rsidR="0083385E">
        <w:t xml:space="preserve">are paid by the acquiring utility. The </w:t>
      </w:r>
      <w:r w:rsidR="00702C5D">
        <w:t>f</w:t>
      </w:r>
      <w:r w:rsidR="0083385E">
        <w:t xml:space="preserve">air market value would be the average of the three appraisals. </w:t>
      </w:r>
      <w:r>
        <w:t>An</w:t>
      </w:r>
      <w:r w:rsidR="00F07E4E">
        <w:t xml:space="preserve"> acquisition by </w:t>
      </w:r>
      <w:r w:rsidR="00702C5D">
        <w:t xml:space="preserve">a member of </w:t>
      </w:r>
      <w:r w:rsidR="00F07E4E">
        <w:t>the National Association of Water Companies would not take away local control</w:t>
      </w:r>
      <w:r w:rsidR="00474CF1">
        <w:t>,</w:t>
      </w:r>
      <w:r w:rsidR="00F07E4E">
        <w:t xml:space="preserve"> </w:t>
      </w:r>
      <w:r w:rsidR="00B23730">
        <w:t>cause loss of jobs</w:t>
      </w:r>
      <w:r w:rsidR="00474CF1">
        <w:t>, or rates to skyrocket</w:t>
      </w:r>
      <w:r w:rsidR="000E7183">
        <w:t xml:space="preserve">. </w:t>
      </w:r>
    </w:p>
    <w:p w:rsidR="00474CF1" w:rsidRDefault="00474CF1"/>
    <w:p w:rsidR="00474CF1" w:rsidRDefault="00474CF1">
      <w:r>
        <w:t xml:space="preserve">In response to Senator Webb, Mr. Paulson stated that </w:t>
      </w:r>
      <w:r w:rsidR="00702C5D">
        <w:t>11</w:t>
      </w:r>
      <w:r>
        <w:t xml:space="preserve"> states have Fair Market Value legislation. American Water </w:t>
      </w:r>
      <w:r w:rsidR="00D96C98">
        <w:t>was</w:t>
      </w:r>
      <w:r>
        <w:t xml:space="preserve"> the largest </w:t>
      </w:r>
      <w:r w:rsidR="005228D4">
        <w:t>investor</w:t>
      </w:r>
      <w:r w:rsidR="00D96C98">
        <w:t>-</w:t>
      </w:r>
      <w:r w:rsidR="005228D4">
        <w:t>owned utility in the country. Kentucky American Water can use single tariff pricing</w:t>
      </w:r>
      <w:r w:rsidR="00D96C98">
        <w:t>,</w:t>
      </w:r>
      <w:r w:rsidR="005228D4">
        <w:t xml:space="preserve"> which would spread the cost among the universal rate base – everybody would pay</w:t>
      </w:r>
      <w:r w:rsidR="000E7183">
        <w:t xml:space="preserve">. </w:t>
      </w:r>
      <w:r w:rsidR="005228D4">
        <w:t xml:space="preserve">Of course, a </w:t>
      </w:r>
      <w:r w:rsidR="000155A9">
        <w:t xml:space="preserve">rate increase </w:t>
      </w:r>
      <w:r w:rsidR="005228D4">
        <w:t xml:space="preserve">case would need to be presented </w:t>
      </w:r>
      <w:r w:rsidR="000155A9">
        <w:t>before</w:t>
      </w:r>
      <w:r w:rsidR="005228D4">
        <w:t xml:space="preserve"> the Public Service</w:t>
      </w:r>
      <w:r w:rsidR="000155A9">
        <w:t xml:space="preserve"> Commission for approval. </w:t>
      </w:r>
    </w:p>
    <w:p w:rsidR="000155A9" w:rsidRDefault="000155A9"/>
    <w:p w:rsidR="000155A9" w:rsidRDefault="000155A9">
      <w:r>
        <w:t xml:space="preserve">In response to Senator Wheeler, Mr. Paulson said he did not know how much water rates increased after being purchased by American Water. </w:t>
      </w:r>
      <w:r w:rsidR="006A4503">
        <w:t xml:space="preserve">He stated that he could provide </w:t>
      </w:r>
      <w:r w:rsidR="006A4503">
        <w:lastRenderedPageBreak/>
        <w:t xml:space="preserve">that information. He explained that the proceeds of a sale go directly to the municipality to use however they see fit. </w:t>
      </w:r>
    </w:p>
    <w:p w:rsidR="001D7066" w:rsidRDefault="001D7066"/>
    <w:p w:rsidR="001D7066" w:rsidRDefault="001D7066">
      <w:r>
        <w:t xml:space="preserve">In response to Mr. Goodmann, Mr. Paulson said there are infrastructure systems throughout the United States that would be better served in a regional investment structure. </w:t>
      </w:r>
    </w:p>
    <w:p w:rsidR="001D7066" w:rsidRDefault="001D7066"/>
    <w:p w:rsidR="001D7066" w:rsidRDefault="001D7066">
      <w:r>
        <w:rPr>
          <w:b/>
        </w:rPr>
        <w:t>Safe Water, Healthy Communities</w:t>
      </w:r>
    </w:p>
    <w:p w:rsidR="000A6BA5" w:rsidRDefault="00C36C43">
      <w:r>
        <w:t xml:space="preserve">Todd Thomas, Vice President of </w:t>
      </w:r>
      <w:r w:rsidR="00D63CC5">
        <w:t>Central States Water Resources (CSWR), a/k/a Bluegrass Water Utility Operating Company stated that CSWR purchases water systems that no one else wants. CSWR consolidates desperate systems that are spread apart</w:t>
      </w:r>
      <w:r w:rsidR="00662D31">
        <w:t>. CSWR’s mission is to bring safe, reliable, and environmentally</w:t>
      </w:r>
      <w:r w:rsidR="00D96C98">
        <w:t>-</w:t>
      </w:r>
      <w:r w:rsidR="00662D31">
        <w:t>responsible water resources to every community in the United States</w:t>
      </w:r>
      <w:r w:rsidR="00D96C98">
        <w:t xml:space="preserve"> </w:t>
      </w:r>
      <w:r w:rsidR="00662D31">
        <w:t xml:space="preserve">and </w:t>
      </w:r>
      <w:r w:rsidR="00D96C98">
        <w:t xml:space="preserve">to </w:t>
      </w:r>
      <w:r w:rsidR="00662D31">
        <w:t xml:space="preserve">be the </w:t>
      </w:r>
      <w:r w:rsidR="00D96C98">
        <w:t>best</w:t>
      </w:r>
      <w:r w:rsidR="00662D31">
        <w:t xml:space="preserve"> water utility in the U.S. </w:t>
      </w:r>
      <w:r w:rsidR="00D96C98">
        <w:t xml:space="preserve">at </w:t>
      </w:r>
      <w:r w:rsidR="00662D31">
        <w:t xml:space="preserve">providing service to small communities. </w:t>
      </w:r>
      <w:r w:rsidR="00EF7E8F">
        <w:t>“</w:t>
      </w:r>
      <w:r>
        <w:t>S</w:t>
      </w:r>
      <w:r w:rsidR="00EF7E8F">
        <w:t xml:space="preserve">mall” </w:t>
      </w:r>
      <w:r w:rsidR="00D96C98">
        <w:t xml:space="preserve">could mean </w:t>
      </w:r>
      <w:r w:rsidR="00EF7E8F">
        <w:t xml:space="preserve">as few as 20 people on the system. </w:t>
      </w:r>
      <w:r w:rsidR="00F42E38">
        <w:t xml:space="preserve">The vision is to transform communities, large or small, by using technology and innovation to </w:t>
      </w:r>
      <w:r w:rsidR="008F0429">
        <w:t>quickly</w:t>
      </w:r>
      <w:r w:rsidR="00F42E38">
        <w:t xml:space="preserve"> invest in reliable infrastructure to meet the needs and protect the river and streams of the state</w:t>
      </w:r>
      <w:r w:rsidR="000E7183">
        <w:t xml:space="preserve">. </w:t>
      </w:r>
      <w:r w:rsidR="00F42E38">
        <w:t>Some systems lack managerial, technical</w:t>
      </w:r>
      <w:r w:rsidR="00D96C98">
        <w:t>,</w:t>
      </w:r>
      <w:r w:rsidR="00F42E38">
        <w:t xml:space="preserve"> and financial capabilities. </w:t>
      </w:r>
      <w:r w:rsidR="0051610C">
        <w:t>There are</w:t>
      </w:r>
      <w:r w:rsidR="00F42E38">
        <w:t xml:space="preserve"> systems </w:t>
      </w:r>
      <w:r w:rsidR="0051610C">
        <w:t xml:space="preserve">that </w:t>
      </w:r>
      <w:r w:rsidR="00F42E38">
        <w:t xml:space="preserve">have been in operation for decades and were not designed to meet </w:t>
      </w:r>
      <w:r w:rsidR="006511A4">
        <w:t xml:space="preserve">the </w:t>
      </w:r>
      <w:r w:rsidR="00D96C98">
        <w:t xml:space="preserve">new </w:t>
      </w:r>
      <w:r w:rsidR="006511A4">
        <w:t xml:space="preserve">regulatory </w:t>
      </w:r>
      <w:r w:rsidR="00D96C98">
        <w:t>requirements</w:t>
      </w:r>
      <w:r w:rsidR="006511A4">
        <w:t xml:space="preserve"> for </w:t>
      </w:r>
      <w:r w:rsidR="00F42E38">
        <w:t>water or wastewater</w:t>
      </w:r>
      <w:r w:rsidR="006511A4">
        <w:t xml:space="preserve">. </w:t>
      </w:r>
      <w:r>
        <w:t>N</w:t>
      </w:r>
      <w:r w:rsidR="006511A4">
        <w:t xml:space="preserve">o bank will offer any money to repair these old systems without a personal mortgage or personal property. </w:t>
      </w:r>
    </w:p>
    <w:p w:rsidR="006511A4" w:rsidRDefault="006511A4"/>
    <w:p w:rsidR="002001A3" w:rsidRDefault="0051610C">
      <w:r>
        <w:t>Mr. Thomas said that CSWR’s investments into water resources are also investment into communities at</w:t>
      </w:r>
      <w:r w:rsidR="00D96C98">
        <w:t>-</w:t>
      </w:r>
      <w:r>
        <w:t xml:space="preserve">large, ultimately </w:t>
      </w:r>
      <w:r w:rsidR="008F0429">
        <w:t>enhancing</w:t>
      </w:r>
      <w:r>
        <w:t xml:space="preserve"> value and driving outside investment</w:t>
      </w:r>
      <w:r w:rsidR="000E7183">
        <w:t xml:space="preserve">. </w:t>
      </w:r>
      <w:r>
        <w:t>CSWR engages with community owners and leaders in need of help, purchases utility assets, and partners with communities to improve service and value. He said that repairing outdated water and wastewater systems increases the value of each community it serves. Mr. Thomas said water quality has a direct impact on home values.</w:t>
      </w:r>
      <w:r w:rsidR="002001A3">
        <w:t xml:space="preserve"> </w:t>
      </w:r>
    </w:p>
    <w:p w:rsidR="002001A3" w:rsidRDefault="002001A3"/>
    <w:p w:rsidR="006511A4" w:rsidRDefault="002001A3">
      <w:r>
        <w:t xml:space="preserve">Mr. Thomas said that CSWR works with the Kentucky Division of Water and the Public Service Commission (PSC) to identify communities that are in desperate need of critical water infrastructure investment. CSWR recently obtained PSC approval to acquire </w:t>
      </w:r>
      <w:r w:rsidR="00D96C98">
        <w:t>nine</w:t>
      </w:r>
      <w:r>
        <w:t xml:space="preserve"> water utilities in Kentucky and is in the process of filing to acquire </w:t>
      </w:r>
      <w:r w:rsidR="00D96C98">
        <w:t>six</w:t>
      </w:r>
      <w:r>
        <w:t xml:space="preserve"> more. CSWR is a priva</w:t>
      </w:r>
      <w:r w:rsidR="00A27371">
        <w:t xml:space="preserve">te solution to a public problem and is an option </w:t>
      </w:r>
      <w:r w:rsidR="00D96C98">
        <w:t>of</w:t>
      </w:r>
      <w:r w:rsidR="00A27371">
        <w:t xml:space="preserve"> last resort for many communities. </w:t>
      </w:r>
      <w:r w:rsidR="00B2799C">
        <w:t>C</w:t>
      </w:r>
      <w:r w:rsidR="00EB5975">
        <w:t xml:space="preserve">ustomers are offered </w:t>
      </w:r>
      <w:r w:rsidR="00A27371">
        <w:t>several payment options</w:t>
      </w:r>
      <w:r w:rsidR="00EB5975">
        <w:t xml:space="preserve">, including an 800 number, </w:t>
      </w:r>
      <w:r w:rsidR="00A27371">
        <w:t>for billing issues or report</w:t>
      </w:r>
      <w:r w:rsidR="007F0C6B">
        <w:t>ing</w:t>
      </w:r>
      <w:r w:rsidR="00A27371">
        <w:t xml:space="preserve"> problems</w:t>
      </w:r>
      <w:r w:rsidR="00EB5975">
        <w:t xml:space="preserve"> CSWR uses local contractors, local water and wastewater contractors, and a cloud</w:t>
      </w:r>
      <w:r w:rsidR="00D96C98">
        <w:t>-</w:t>
      </w:r>
      <w:r w:rsidR="00EB5975">
        <w:t xml:space="preserve">based management system. </w:t>
      </w:r>
    </w:p>
    <w:p w:rsidR="00EB5975" w:rsidRDefault="00EB5975"/>
    <w:p w:rsidR="00EB5975" w:rsidRDefault="00EB5975">
      <w:r>
        <w:t xml:space="preserve">In response to Mr. Gardner, Mr. Thomas said that fair market value would be a good option since some of the systems have nothing else to offer. He also said that CSWR would like to use a </w:t>
      </w:r>
      <w:r w:rsidR="00D505B3">
        <w:t xml:space="preserve">statewide </w:t>
      </w:r>
      <w:r>
        <w:t>unified rate</w:t>
      </w:r>
      <w:r w:rsidR="00D505B3">
        <w:t>. CSWR typically buys from private individuals not municipalities.</w:t>
      </w:r>
    </w:p>
    <w:p w:rsidR="00D505B3" w:rsidRDefault="00D505B3"/>
    <w:p w:rsidR="00D505B3" w:rsidRDefault="00D505B3" w:rsidP="004729BD">
      <w:r>
        <w:lastRenderedPageBreak/>
        <w:t>In re</w:t>
      </w:r>
      <w:r w:rsidR="004729BD">
        <w:t>s</w:t>
      </w:r>
      <w:r>
        <w:t xml:space="preserve">ponse to Mr. Larrimore, Mr. Thomas said </w:t>
      </w:r>
      <w:r w:rsidR="004729BD">
        <w:t xml:space="preserve">CSWR had no complaints about the </w:t>
      </w:r>
      <w:r w:rsidR="008F0429">
        <w:t>acquisition</w:t>
      </w:r>
      <w:r>
        <w:t xml:space="preserve"> </w:t>
      </w:r>
      <w:r w:rsidR="004729BD">
        <w:t xml:space="preserve">process </w:t>
      </w:r>
      <w:r>
        <w:t>with the PSC in cooperation with the Kentucky Division of Water</w:t>
      </w:r>
      <w:r w:rsidR="000E7183">
        <w:t xml:space="preserve">. </w:t>
      </w:r>
    </w:p>
    <w:p w:rsidR="004729BD" w:rsidRDefault="004729BD" w:rsidP="004729BD"/>
    <w:p w:rsidR="004729BD" w:rsidRDefault="004729BD" w:rsidP="004729BD"/>
    <w:p w:rsidR="006511A4" w:rsidRDefault="004729BD">
      <w:r>
        <w:rPr>
          <w:b/>
        </w:rPr>
        <w:t>Addressing Failing Systems in Tennessee</w:t>
      </w:r>
    </w:p>
    <w:p w:rsidR="004729BD" w:rsidRDefault="004729BD">
      <w:r>
        <w:t xml:space="preserve">Mr. John Greer, Utility Specialist, Tennessee Comptroller of the Treasury, </w:t>
      </w:r>
      <w:r w:rsidR="00D96C98">
        <w:t xml:space="preserve">and </w:t>
      </w:r>
      <w:r>
        <w:t xml:space="preserve">Technical Secretary to </w:t>
      </w:r>
      <w:r w:rsidR="00D96C98">
        <w:t xml:space="preserve">both </w:t>
      </w:r>
      <w:r>
        <w:t>the</w:t>
      </w:r>
      <w:r w:rsidR="0017183F">
        <w:t xml:space="preserve"> Water and Wastewater Financing Board (WWFB) and </w:t>
      </w:r>
      <w:r w:rsidR="00D96C98">
        <w:t xml:space="preserve">the </w:t>
      </w:r>
      <w:r w:rsidR="0017183F">
        <w:t>Utility Management Review Board (UMRB</w:t>
      </w:r>
      <w:r w:rsidR="006D6B83">
        <w:t>)</w:t>
      </w:r>
      <w:r w:rsidR="0017183F">
        <w:t xml:space="preserve"> explained that the Office of the Comptroller </w:t>
      </w:r>
      <w:r w:rsidR="006D6B83">
        <w:t xml:space="preserve">of the Treasury </w:t>
      </w:r>
      <w:r w:rsidR="00D9099B">
        <w:t xml:space="preserve">(COT) </w:t>
      </w:r>
      <w:r w:rsidR="0017183F">
        <w:t xml:space="preserve">does not work for private investor-owned utilities, only government utilities. </w:t>
      </w:r>
      <w:r w:rsidR="00B2799C">
        <w:t>T</w:t>
      </w:r>
      <w:r w:rsidR="0017183F">
        <w:t xml:space="preserve">he </w:t>
      </w:r>
      <w:r w:rsidR="0017539B">
        <w:t>COT o</w:t>
      </w:r>
      <w:r w:rsidR="0017183F">
        <w:t xml:space="preserve">ffice is housed within the Tennessee state legislature </w:t>
      </w:r>
      <w:r w:rsidR="006D6B83">
        <w:t>so,</w:t>
      </w:r>
      <w:r w:rsidR="0017183F">
        <w:t xml:space="preserve"> he is an employee of the legislative branch. </w:t>
      </w:r>
      <w:r w:rsidR="00B2799C">
        <w:t>T</w:t>
      </w:r>
      <w:r w:rsidR="0017183F">
        <w:t>he WWFB and the UMRB were created in 1987 to protect the state’</w:t>
      </w:r>
      <w:r w:rsidR="00BC42EE">
        <w:t>s revol</w:t>
      </w:r>
      <w:r w:rsidR="00D9099B">
        <w:t xml:space="preserve">ving loan fund, but in 2007 </w:t>
      </w:r>
      <w:r w:rsidR="006D6B83">
        <w:t>they were</w:t>
      </w:r>
      <w:r w:rsidR="00D9099B">
        <w:t xml:space="preserve"> </w:t>
      </w:r>
      <w:r w:rsidR="00BC42EE">
        <w:t>moved to the COT</w:t>
      </w:r>
      <w:r w:rsidR="000E7183">
        <w:t xml:space="preserve">. </w:t>
      </w:r>
      <w:r w:rsidR="00B2799C">
        <w:t>T</w:t>
      </w:r>
      <w:r w:rsidR="00BC42EE">
        <w:t>he WWFB oversees the water and wastewater systems for 260 municipalities, 12 counties</w:t>
      </w:r>
      <w:r w:rsidR="006D6B83">
        <w:t>,</w:t>
      </w:r>
      <w:r w:rsidR="00BC42EE">
        <w:t xml:space="preserve"> and 10 regional authorities. </w:t>
      </w:r>
      <w:r w:rsidR="006D6B83">
        <w:t xml:space="preserve">The </w:t>
      </w:r>
      <w:r w:rsidR="00BC42EE">
        <w:t>UMRB oversees 179 utility districts (rural water districts).</w:t>
      </w:r>
      <w:r w:rsidR="00A13550">
        <w:t xml:space="preserve"> Mr. Greer said that the UMRB and WWFB consists of </w:t>
      </w:r>
      <w:r w:rsidR="006D6B83">
        <w:t>nine</w:t>
      </w:r>
      <w:r w:rsidR="00A13550">
        <w:t xml:space="preserve"> members, </w:t>
      </w:r>
      <w:r w:rsidR="006D6B83">
        <w:t>two</w:t>
      </w:r>
      <w:r w:rsidR="00A13550">
        <w:t xml:space="preserve"> ex-officio, and </w:t>
      </w:r>
      <w:r w:rsidR="006D6B83">
        <w:t>seven</w:t>
      </w:r>
      <w:r w:rsidR="00A13550">
        <w:t xml:space="preserve"> members appointed by the Governor. </w:t>
      </w:r>
      <w:r w:rsidR="00B2799C">
        <w:t>T</w:t>
      </w:r>
      <w:r w:rsidR="006A3183">
        <w:t xml:space="preserve">he </w:t>
      </w:r>
      <w:r w:rsidR="006D6B83">
        <w:t>b</w:t>
      </w:r>
      <w:r w:rsidR="006A3183">
        <w:t>oards have representative</w:t>
      </w:r>
      <w:r w:rsidR="006D6B83">
        <w:t>s</w:t>
      </w:r>
      <w:r w:rsidR="006A3183">
        <w:t xml:space="preserve"> from different industries, but all are local government experts.</w:t>
      </w:r>
      <w:r w:rsidR="00011124">
        <w:t xml:space="preserve"> </w:t>
      </w:r>
      <w:r w:rsidR="00B2799C">
        <w:t>T</w:t>
      </w:r>
      <w:r w:rsidR="00011124">
        <w:t xml:space="preserve">he purpose of the </w:t>
      </w:r>
      <w:r w:rsidR="00BB440C">
        <w:t>boards</w:t>
      </w:r>
      <w:r w:rsidR="00011124">
        <w:t xml:space="preserve"> is to correct financial losses </w:t>
      </w:r>
      <w:r w:rsidR="006D6B83">
        <w:t>through</w:t>
      </w:r>
      <w:r w:rsidR="00011124">
        <w:t xml:space="preserve"> user rate increases, expense decreases, negotiat</w:t>
      </w:r>
      <w:r w:rsidR="00D9099B">
        <w:t>ing</w:t>
      </w:r>
      <w:r w:rsidR="00011124">
        <w:t xml:space="preserve"> regional consolidation for public</w:t>
      </w:r>
      <w:r w:rsidR="006D6B83">
        <w:t>-</w:t>
      </w:r>
      <w:r w:rsidR="00011124">
        <w:t>to</w:t>
      </w:r>
      <w:r w:rsidR="006D6B83">
        <w:t>-</w:t>
      </w:r>
      <w:r w:rsidR="00011124">
        <w:t xml:space="preserve">public utilities. Under Tennessee law, water and wastewater facilities are required to be self-supporting. </w:t>
      </w:r>
      <w:r w:rsidR="00B2799C">
        <w:t>T</w:t>
      </w:r>
      <w:r w:rsidR="00011124">
        <w:t xml:space="preserve">he </w:t>
      </w:r>
      <w:r w:rsidR="006D6B83">
        <w:t xml:space="preserve">UMRB </w:t>
      </w:r>
      <w:r w:rsidR="00011124">
        <w:t>acts for the public welfare and carr</w:t>
      </w:r>
      <w:r w:rsidR="00823E3B">
        <w:t>ies</w:t>
      </w:r>
      <w:r w:rsidR="00011124">
        <w:t xml:space="preserve"> out the General Assembly’s intent that utility districts be operated as a self-sufficient enterprises. </w:t>
      </w:r>
    </w:p>
    <w:p w:rsidR="00011124" w:rsidRDefault="00011124"/>
    <w:p w:rsidR="00011124" w:rsidRDefault="00011124">
      <w:r>
        <w:t xml:space="preserve">Mr. Greer explained that both </w:t>
      </w:r>
      <w:r w:rsidR="006D6B83">
        <w:t>b</w:t>
      </w:r>
      <w:r>
        <w:t>oards</w:t>
      </w:r>
      <w:r w:rsidR="00E36FC1">
        <w:t xml:space="preserve"> follow regulatory procedures that consist of </w:t>
      </w:r>
      <w:r>
        <w:t>a formal review, board investigation (</w:t>
      </w:r>
      <w:r w:rsidR="006D6B83">
        <w:t>five</w:t>
      </w:r>
      <w:r>
        <w:t xml:space="preserve"> years of financial data and </w:t>
      </w:r>
      <w:r w:rsidR="006D6B83">
        <w:t>five</w:t>
      </w:r>
      <w:r>
        <w:t xml:space="preserve"> years of water loss and operation</w:t>
      </w:r>
      <w:r w:rsidR="00E36FC1">
        <w:t>al</w:t>
      </w:r>
      <w:r>
        <w:t xml:space="preserve"> data), </w:t>
      </w:r>
      <w:r w:rsidR="00E36FC1">
        <w:t>informal hearing</w:t>
      </w:r>
      <w:r w:rsidR="006D6B83">
        <w:t>s</w:t>
      </w:r>
      <w:r w:rsidR="00E36FC1">
        <w:t xml:space="preserve">, contested cases, and litigation. </w:t>
      </w:r>
      <w:r w:rsidR="00B2799C">
        <w:t>A</w:t>
      </w:r>
      <w:r w:rsidR="00E36FC1">
        <w:t xml:space="preserve">ll of the procedures are conducted informally, </w:t>
      </w:r>
      <w:r w:rsidR="006D6B83">
        <w:t>without</w:t>
      </w:r>
      <w:r w:rsidR="00E36FC1">
        <w:t xml:space="preserve"> lawyers, unless the failing system fails to comply.</w:t>
      </w:r>
    </w:p>
    <w:p w:rsidR="00E36FC1" w:rsidRDefault="00E36FC1"/>
    <w:p w:rsidR="00E36FC1" w:rsidRDefault="00E36FC1">
      <w:r>
        <w:t xml:space="preserve">In response to Senator Webb, Mr. Greer said that if an official of the water </w:t>
      </w:r>
      <w:r w:rsidR="006D6B83">
        <w:t>or</w:t>
      </w:r>
      <w:r>
        <w:t xml:space="preserve"> wastewater utility misse</w:t>
      </w:r>
      <w:r w:rsidR="00D9099B">
        <w:t>d</w:t>
      </w:r>
      <w:r>
        <w:t xml:space="preserve"> a training, then the </w:t>
      </w:r>
      <w:r w:rsidR="006D6B83">
        <w:t>c</w:t>
      </w:r>
      <w:r>
        <w:t xml:space="preserve">ounty </w:t>
      </w:r>
      <w:r w:rsidR="006D6B83">
        <w:t>j</w:t>
      </w:r>
      <w:r>
        <w:t xml:space="preserve">udge </w:t>
      </w:r>
      <w:r w:rsidR="00D9099B">
        <w:t>could not</w:t>
      </w:r>
      <w:r>
        <w:t xml:space="preserve"> reappoint them to the</w:t>
      </w:r>
      <w:r w:rsidR="00CD0BE9">
        <w:t xml:space="preserve"> local board. If a commissioner has a breach of their fiduciary responsibility in running the system, the </w:t>
      </w:r>
      <w:r w:rsidR="00D9099B">
        <w:t>COT</w:t>
      </w:r>
      <w:r w:rsidR="00CD0BE9">
        <w:t xml:space="preserve"> will start </w:t>
      </w:r>
      <w:r w:rsidR="008F0429">
        <w:t>ouster</w:t>
      </w:r>
      <w:r w:rsidR="00CD0BE9">
        <w:t xml:space="preserve"> proceedings that go through an administrative law judge.</w:t>
      </w:r>
      <w:r w:rsidR="009D32A9">
        <w:t xml:space="preserve"> If, for example, a </w:t>
      </w:r>
      <w:r w:rsidR="006D6B83">
        <w:t>m</w:t>
      </w:r>
      <w:r w:rsidR="009D32A9">
        <w:t xml:space="preserve">ayor were to miss training, the entire entity would get referred to the </w:t>
      </w:r>
      <w:r w:rsidR="00D9099B">
        <w:t>COT</w:t>
      </w:r>
      <w:r w:rsidR="009D32A9">
        <w:t xml:space="preserve">. </w:t>
      </w:r>
    </w:p>
    <w:p w:rsidR="00CD0BE9" w:rsidRDefault="00CD0BE9"/>
    <w:p w:rsidR="006511A4" w:rsidRDefault="00CD0BE9">
      <w:r>
        <w:t xml:space="preserve">In response to Representative Gooch, Mr. Greer stated that training is mandatory in Tennessee. Within one year from an official’s appointment, they must obtain </w:t>
      </w:r>
      <w:r w:rsidR="006D6B83">
        <w:t>12</w:t>
      </w:r>
      <w:r>
        <w:t xml:space="preserve"> hours of </w:t>
      </w:r>
      <w:r w:rsidR="00F04D5E">
        <w:t xml:space="preserve">on-line </w:t>
      </w:r>
      <w:r>
        <w:t>training</w:t>
      </w:r>
      <w:r w:rsidR="00F52C8C">
        <w:t>, and t</w:t>
      </w:r>
      <w:r>
        <w:t xml:space="preserve">hen </w:t>
      </w:r>
      <w:r w:rsidR="00F52C8C">
        <w:t xml:space="preserve">12 hours of continuing education </w:t>
      </w:r>
      <w:r>
        <w:t xml:space="preserve">every </w:t>
      </w:r>
      <w:r w:rsidR="00F52C8C">
        <w:t>three</w:t>
      </w:r>
      <w:r>
        <w:t xml:space="preserve"> years </w:t>
      </w:r>
      <w:r w:rsidR="00D9099B">
        <w:t xml:space="preserve">for </w:t>
      </w:r>
      <w:r>
        <w:t xml:space="preserve">as long as the official serves the utility. </w:t>
      </w:r>
    </w:p>
    <w:p w:rsidR="00F04D5E" w:rsidRDefault="00F04D5E"/>
    <w:p w:rsidR="00F04D5E" w:rsidRDefault="00F04D5E">
      <w:r>
        <w:t xml:space="preserve">Mr. Greer stated that all government utilities in Tennessee must submit an annual </w:t>
      </w:r>
      <w:r w:rsidR="008F0429">
        <w:t>audit</w:t>
      </w:r>
      <w:r>
        <w:t xml:space="preserve"> by an independent </w:t>
      </w:r>
      <w:r w:rsidR="00F52C8C">
        <w:t>c</w:t>
      </w:r>
      <w:r>
        <w:t xml:space="preserve">ertified </w:t>
      </w:r>
      <w:r w:rsidR="00F52C8C">
        <w:t>p</w:t>
      </w:r>
      <w:r>
        <w:t xml:space="preserve">ublic </w:t>
      </w:r>
      <w:r w:rsidR="00F52C8C">
        <w:t>a</w:t>
      </w:r>
      <w:r>
        <w:t xml:space="preserve">ccountant. </w:t>
      </w:r>
      <w:r w:rsidR="00B2799C">
        <w:t>A</w:t>
      </w:r>
      <w:r>
        <w:t xml:space="preserve"> two-year operating loss</w:t>
      </w:r>
      <w:r w:rsidR="00F564FE">
        <w:t xml:space="preserve">, or </w:t>
      </w:r>
      <w:r w:rsidR="00F52C8C">
        <w:t xml:space="preserve">a </w:t>
      </w:r>
      <w:r w:rsidR="00F564FE">
        <w:t xml:space="preserve">default </w:t>
      </w:r>
      <w:r w:rsidR="00F564FE">
        <w:lastRenderedPageBreak/>
        <w:t>on a debt instrument</w:t>
      </w:r>
      <w:r>
        <w:t xml:space="preserve"> would get the utility</w:t>
      </w:r>
      <w:r w:rsidR="00F52C8C">
        <w:t xml:space="preserve"> or </w:t>
      </w:r>
      <w:r>
        <w:t xml:space="preserve">entity referred to the </w:t>
      </w:r>
      <w:r w:rsidR="00F52C8C">
        <w:t>b</w:t>
      </w:r>
      <w:r>
        <w:t>oard.</w:t>
      </w:r>
      <w:r w:rsidR="00F564FE">
        <w:t xml:space="preserve"> </w:t>
      </w:r>
      <w:r w:rsidR="00F52C8C">
        <w:t xml:space="preserve">New utilities must </w:t>
      </w:r>
      <w:r w:rsidR="00F564FE">
        <w:t>obtain approval</w:t>
      </w:r>
      <w:r w:rsidR="00F52C8C">
        <w:t xml:space="preserve"> from the board prior to beginning operation</w:t>
      </w:r>
      <w:r w:rsidR="00F564FE">
        <w:t>.</w:t>
      </w:r>
      <w:r w:rsidR="00F52C8C">
        <w:t xml:space="preserve"> If a utility loses</w:t>
      </w:r>
      <w:r w:rsidR="00751AAA">
        <w:t xml:space="preserve"> 20 percent or more</w:t>
      </w:r>
      <w:r w:rsidR="009E563F">
        <w:t xml:space="preserve"> </w:t>
      </w:r>
      <w:r w:rsidR="00F52C8C">
        <w:t>of</w:t>
      </w:r>
      <w:r w:rsidR="009E563F">
        <w:t xml:space="preserve"> their operating cost</w:t>
      </w:r>
      <w:r w:rsidR="00F52C8C">
        <w:t xml:space="preserve"> in water loss</w:t>
      </w:r>
      <w:r w:rsidR="00751AAA">
        <w:t xml:space="preserve">, the entity must submit </w:t>
      </w:r>
      <w:r w:rsidR="00823E3B">
        <w:t>a Water and Wastewater Analysis (</w:t>
      </w:r>
      <w:r w:rsidR="00751AAA">
        <w:t>WWA</w:t>
      </w:r>
      <w:r w:rsidR="00823E3B">
        <w:t>)</w:t>
      </w:r>
      <w:r w:rsidR="00751AAA">
        <w:t xml:space="preserve"> reporting worksheet.</w:t>
      </w:r>
    </w:p>
    <w:p w:rsidR="009D32A9" w:rsidRDefault="009D32A9"/>
    <w:p w:rsidR="009D32A9" w:rsidRDefault="009D32A9">
      <w:r>
        <w:t xml:space="preserve">Mr. Greer said the </w:t>
      </w:r>
      <w:r w:rsidR="00F52C8C">
        <w:t>b</w:t>
      </w:r>
      <w:r>
        <w:t>oard partners with</w:t>
      </w:r>
      <w:r w:rsidR="00823E3B">
        <w:t xml:space="preserve"> local utilities for education, financial planning, and managerial and technical assistance. The </w:t>
      </w:r>
      <w:r w:rsidR="00F52C8C">
        <w:t>b</w:t>
      </w:r>
      <w:r w:rsidR="00823E3B">
        <w:t xml:space="preserve">oard also collaborates with local, state, and federal agencies. </w:t>
      </w:r>
    </w:p>
    <w:p w:rsidR="00B2799C" w:rsidRDefault="00B2799C"/>
    <w:p w:rsidR="00823E3B" w:rsidRDefault="00823E3B">
      <w:r>
        <w:t xml:space="preserve">Mr. Greer noted that </w:t>
      </w:r>
      <w:r w:rsidR="00D748AC">
        <w:t xml:space="preserve">after a utility gets referred to the </w:t>
      </w:r>
      <w:r w:rsidR="00F52C8C">
        <w:t>b</w:t>
      </w:r>
      <w:r w:rsidR="00D748AC">
        <w:t>oard, th</w:t>
      </w:r>
      <w:r w:rsidR="00D9099B">
        <w:t xml:space="preserve">e </w:t>
      </w:r>
      <w:r w:rsidR="00D748AC">
        <w:t xml:space="preserve">utility will </w:t>
      </w:r>
      <w:r w:rsidR="00D9099B">
        <w:t>have a</w:t>
      </w:r>
      <w:r w:rsidR="00D748AC">
        <w:t xml:space="preserve"> </w:t>
      </w:r>
      <w:r w:rsidR="00F52C8C">
        <w:t>five</w:t>
      </w:r>
      <w:r w:rsidR="00D748AC">
        <w:t xml:space="preserve"> year capitol asset plan. The </w:t>
      </w:r>
      <w:r w:rsidR="00D9099B">
        <w:t>COT</w:t>
      </w:r>
      <w:r w:rsidR="00D748AC">
        <w:t xml:space="preserve"> continually </w:t>
      </w:r>
      <w:r w:rsidR="00F52C8C">
        <w:t>provides</w:t>
      </w:r>
      <w:r w:rsidR="00D748AC">
        <w:t xml:space="preserve"> information to utilities </w:t>
      </w:r>
      <w:r w:rsidR="00F52C8C">
        <w:t xml:space="preserve">through its </w:t>
      </w:r>
      <w:r w:rsidR="00D748AC">
        <w:t xml:space="preserve"> </w:t>
      </w:r>
      <w:r w:rsidR="00F52C8C">
        <w:t>W</w:t>
      </w:r>
      <w:r w:rsidR="00D748AC">
        <w:t>eb</w:t>
      </w:r>
      <w:r w:rsidR="00F52C8C">
        <w:t xml:space="preserve"> </w:t>
      </w:r>
      <w:r w:rsidR="00D748AC">
        <w:t>site, bulletins, and twitter.</w:t>
      </w:r>
    </w:p>
    <w:p w:rsidR="00D748AC" w:rsidRDefault="00D748AC"/>
    <w:p w:rsidR="00D748AC" w:rsidRDefault="00D748AC">
      <w:r>
        <w:t>In response to Representative Gooch, Mr. Greer stated that he has been the only staff member</w:t>
      </w:r>
      <w:r w:rsidR="00F52C8C">
        <w:t xml:space="preserve"> for the boards</w:t>
      </w:r>
      <w:r>
        <w:t xml:space="preserve"> for </w:t>
      </w:r>
      <w:r w:rsidR="00F52C8C">
        <w:t xml:space="preserve">the </w:t>
      </w:r>
      <w:r>
        <w:t xml:space="preserve">past </w:t>
      </w:r>
      <w:r w:rsidR="00F52C8C">
        <w:t>three</w:t>
      </w:r>
      <w:r>
        <w:t xml:space="preserve"> years, but </w:t>
      </w:r>
      <w:r w:rsidR="00D9099B">
        <w:t>another</w:t>
      </w:r>
      <w:r>
        <w:t xml:space="preserve"> person</w:t>
      </w:r>
      <w:r w:rsidR="00D9099B">
        <w:t xml:space="preserve"> had just been hired</w:t>
      </w:r>
      <w:r w:rsidR="006D46F1">
        <w:t>. He said once the communication barrier</w:t>
      </w:r>
      <w:r w:rsidR="00D9099B">
        <w:t>s</w:t>
      </w:r>
      <w:r w:rsidR="006D46F1">
        <w:t xml:space="preserve"> with other state agencies </w:t>
      </w:r>
      <w:r w:rsidR="00F52C8C">
        <w:t>are</w:t>
      </w:r>
      <w:r w:rsidR="006D46F1">
        <w:t xml:space="preserve"> dissolved, it makes the job easier by having information available. </w:t>
      </w:r>
    </w:p>
    <w:p w:rsidR="006D46F1" w:rsidRDefault="006D46F1"/>
    <w:p w:rsidR="006D46F1" w:rsidRDefault="006D46F1">
      <w:r>
        <w:t>In response to Mr. Gardner, Mr. Greer said that audits are not expensive for most of the utilities because the auditor has to be approved</w:t>
      </w:r>
      <w:r w:rsidR="008E17F0">
        <w:t xml:space="preserve"> by COT</w:t>
      </w:r>
      <w:r>
        <w:t xml:space="preserve">. </w:t>
      </w:r>
      <w:r w:rsidR="00B2799C">
        <w:t>A</w:t>
      </w:r>
      <w:r w:rsidR="00E200F3">
        <w:t xml:space="preserve"> $22 million community development block grant was given to water and wastewater </w:t>
      </w:r>
      <w:r w:rsidR="00586E56">
        <w:t>systems</w:t>
      </w:r>
      <w:r w:rsidR="00E200F3">
        <w:t xml:space="preserve"> last year in blocks of $550,000. </w:t>
      </w:r>
      <w:r w:rsidR="008E17F0">
        <w:t xml:space="preserve">He also stated that giving money to poorly run systems does </w:t>
      </w:r>
      <w:r w:rsidR="00E200F3">
        <w:t>not help</w:t>
      </w:r>
      <w:r w:rsidR="000E7183">
        <w:t xml:space="preserve">. </w:t>
      </w:r>
      <w:r w:rsidR="008E17F0">
        <w:t xml:space="preserve">Mr. Greer said that </w:t>
      </w:r>
      <w:r w:rsidR="00E200F3">
        <w:t>Tennessee found funds at the federal and state level through matches</w:t>
      </w:r>
      <w:r w:rsidR="005F2C7F">
        <w:t xml:space="preserve"> </w:t>
      </w:r>
      <w:r w:rsidR="00E200F3">
        <w:t xml:space="preserve">for only small distressed communities. </w:t>
      </w:r>
      <w:r w:rsidR="00B2799C">
        <w:t>T</w:t>
      </w:r>
      <w:r w:rsidR="008E17F0">
        <w:t xml:space="preserve">he </w:t>
      </w:r>
      <w:r w:rsidR="00B2799C">
        <w:t xml:space="preserve">State Revolving Funds </w:t>
      </w:r>
      <w:r w:rsidR="005F2C7F">
        <w:t xml:space="preserve">(SRF) </w:t>
      </w:r>
      <w:r w:rsidR="00E200F3">
        <w:t>help to encourage mergers.</w:t>
      </w:r>
    </w:p>
    <w:p w:rsidR="00E200F3" w:rsidRDefault="00E200F3"/>
    <w:p w:rsidR="00E200F3" w:rsidRDefault="00E200F3">
      <w:r>
        <w:t xml:space="preserve">In response to Mr. Gardner, Mr. Greer stated that the model developed by the </w:t>
      </w:r>
      <w:r w:rsidR="0070770B">
        <w:t>COT</w:t>
      </w:r>
      <w:r>
        <w:t xml:space="preserve"> </w:t>
      </w:r>
      <w:r w:rsidR="0070770B">
        <w:t>had helped</w:t>
      </w:r>
      <w:r>
        <w:t xml:space="preserve"> to change lives</w:t>
      </w:r>
      <w:r w:rsidR="008F395A">
        <w:t xml:space="preserve">. The model is </w:t>
      </w:r>
      <w:r w:rsidR="0070770B">
        <w:t xml:space="preserve">designed </w:t>
      </w:r>
      <w:r w:rsidR="008F395A">
        <w:t>to take governments and fix them</w:t>
      </w:r>
      <w:r w:rsidR="0070770B">
        <w:t>,</w:t>
      </w:r>
      <w:r w:rsidR="008F395A">
        <w:t xml:space="preserve"> leaving money in the local community and local government. </w:t>
      </w:r>
    </w:p>
    <w:p w:rsidR="008F395A" w:rsidRDefault="008F395A"/>
    <w:p w:rsidR="008F395A" w:rsidRDefault="008F395A">
      <w:r>
        <w:t>In response to Mr. Larrimore, Mr. Greer said the biggest distinction between the two boards and the PSC is the formality. The utility would be paying attorney</w:t>
      </w:r>
      <w:r w:rsidR="005F2C7F">
        <w:t>s’</w:t>
      </w:r>
      <w:r>
        <w:t xml:space="preserve"> fees and dealing with the Office of the Attorney General for rate increases. Going through the Water and Wastewater Financing Board and Utility Management Review B</w:t>
      </w:r>
      <w:r w:rsidR="0070770B">
        <w:t xml:space="preserve">oard is a more informal process. </w:t>
      </w:r>
      <w:r>
        <w:t xml:space="preserve">Each </w:t>
      </w:r>
      <w:r w:rsidR="005F2C7F">
        <w:t>b</w:t>
      </w:r>
      <w:r>
        <w:t xml:space="preserve">oard has the expertise </w:t>
      </w:r>
      <w:r w:rsidR="005F2C7F">
        <w:t>to deal with</w:t>
      </w:r>
      <w:r>
        <w:t xml:space="preserve"> the entities that they regulate. </w:t>
      </w:r>
    </w:p>
    <w:p w:rsidR="008F395A" w:rsidRDefault="008F395A"/>
    <w:p w:rsidR="008F395A" w:rsidRDefault="008F395A">
      <w:r>
        <w:t xml:space="preserve">In response to Mr. Larrimore, Mr. Greer stated that the </w:t>
      </w:r>
      <w:r w:rsidR="005F2C7F">
        <w:t>b</w:t>
      </w:r>
      <w:r>
        <w:t>oards are not in th</w:t>
      </w:r>
      <w:r w:rsidR="00DF4661">
        <w:t>e business of setting rates without having all the data presented</w:t>
      </w:r>
      <w:r w:rsidR="000E7183">
        <w:t xml:space="preserve">. </w:t>
      </w:r>
      <w:r w:rsidR="00B2799C">
        <w:t>Mr. Greer</w:t>
      </w:r>
      <w:r w:rsidR="00DF4661">
        <w:t xml:space="preserve"> did not know how much it would cost an entity going before the PSC, but there are no fees charged by the </w:t>
      </w:r>
      <w:r w:rsidR="005F2C7F">
        <w:t>b</w:t>
      </w:r>
      <w:r w:rsidR="00DF4661">
        <w:t xml:space="preserve">oards unless an outside consultant would be needed to do a rate study. Even at that, both </w:t>
      </w:r>
      <w:r w:rsidR="005F2C7F">
        <w:t>b</w:t>
      </w:r>
      <w:r w:rsidR="00DF4661">
        <w:t>oards can have a rate study done for local governments for approximately $1,000.</w:t>
      </w:r>
    </w:p>
    <w:p w:rsidR="00DF4661" w:rsidRDefault="00DF4661"/>
    <w:p w:rsidR="00823E3B" w:rsidRDefault="00DF4661">
      <w:r>
        <w:lastRenderedPageBreak/>
        <w:t xml:space="preserve">In response to Ms. McNeil, Mr. Greer stated that the </w:t>
      </w:r>
      <w:r w:rsidR="005F2C7F">
        <w:t>b</w:t>
      </w:r>
      <w:r>
        <w:t>oards work with the SRF program</w:t>
      </w:r>
      <w:r w:rsidR="00BF7154">
        <w:t xml:space="preserve"> by placing all audits on-line and send</w:t>
      </w:r>
      <w:r w:rsidR="005F2C7F">
        <w:t>ing</w:t>
      </w:r>
      <w:r w:rsidR="00BF7154">
        <w:t xml:space="preserve"> background information to the SRF. </w:t>
      </w:r>
      <w:r w:rsidR="005F2C7F">
        <w:t>W</w:t>
      </w:r>
      <w:r w:rsidR="00BF7154">
        <w:t>orking closely with the SRF, it</w:t>
      </w:r>
      <w:r w:rsidR="006B1179">
        <w:t xml:space="preserve"> helps to </w:t>
      </w:r>
      <w:r w:rsidR="00586E56">
        <w:t>elim</w:t>
      </w:r>
      <w:r w:rsidR="006B1179">
        <w:t xml:space="preserve">inate </w:t>
      </w:r>
      <w:r w:rsidR="00BF7154">
        <w:t xml:space="preserve">bad loans </w:t>
      </w:r>
      <w:r w:rsidR="006B1179">
        <w:t xml:space="preserve">and </w:t>
      </w:r>
      <w:r w:rsidR="00BF7154">
        <w:t>confirm that entit</w:t>
      </w:r>
      <w:r w:rsidR="00BB440C">
        <w:t>ies are</w:t>
      </w:r>
      <w:r w:rsidR="00BF7154">
        <w:t xml:space="preserve"> eligible. Mr. Greer said that the University of Tennessee is </w:t>
      </w:r>
      <w:r w:rsidR="00586E56">
        <w:t xml:space="preserve">researching </w:t>
      </w:r>
      <w:r w:rsidR="00BF7154">
        <w:t xml:space="preserve">an Ability to Pay Index and </w:t>
      </w:r>
      <w:r w:rsidR="00586E56">
        <w:t>Affordability</w:t>
      </w:r>
      <w:r w:rsidR="00BF7154">
        <w:t xml:space="preserve"> Index study</w:t>
      </w:r>
      <w:r w:rsidR="00586E56">
        <w:t xml:space="preserve"> along with rate metrics</w:t>
      </w:r>
      <w:r w:rsidR="00C803F6">
        <w:t>.</w:t>
      </w:r>
      <w:r w:rsidR="0070770B">
        <w:t xml:space="preserve"> </w:t>
      </w:r>
    </w:p>
    <w:p w:rsidR="00586E56" w:rsidRDefault="00586E56"/>
    <w:p w:rsidR="00586E56" w:rsidRDefault="00586E56">
      <w:r>
        <w:t xml:space="preserve">In response to Ms. McNeil, Mr. Greer said that if any utility defaults on debt, </w:t>
      </w:r>
      <w:r w:rsidR="00BB440C">
        <w:t xml:space="preserve">has a </w:t>
      </w:r>
      <w:r>
        <w:t xml:space="preserve">technical default, </w:t>
      </w:r>
      <w:r w:rsidR="00BB440C">
        <w:t xml:space="preserve">does </w:t>
      </w:r>
      <w:r>
        <w:t>not meet bond covenants</w:t>
      </w:r>
      <w:r w:rsidR="00BB440C">
        <w:t>,</w:t>
      </w:r>
      <w:r>
        <w:t xml:space="preserve"> or just forgets to make a payment, they instantly get referred to the COT.</w:t>
      </w:r>
    </w:p>
    <w:p w:rsidR="00586E56" w:rsidRDefault="00586E56"/>
    <w:p w:rsidR="00586E56" w:rsidRDefault="00586E56">
      <w:r>
        <w:t xml:space="preserve">Meeting adjourned. </w:t>
      </w:r>
    </w:p>
    <w:sectPr w:rsidR="00586E56" w:rsidSect="00A1211A">
      <w:footerReference w:type="default" r:id="rId6"/>
      <w:pgSz w:w="12240" w:h="15840"/>
      <w:pgMar w:top="1440" w:right="1440" w:bottom="1440" w:left="1440" w:header="720" w:footer="720" w:gutter="0"/>
      <w:paperSrc w:first="1" w:other="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98E" w:rsidRDefault="0033298E">
      <w:r>
        <w:separator/>
      </w:r>
    </w:p>
  </w:endnote>
  <w:endnote w:type="continuationSeparator" w:id="0">
    <w:p w:rsidR="0033298E" w:rsidRDefault="0033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lainTable4"/>
      <w:tblW w:w="0" w:type="auto"/>
      <w:tblBorders>
        <w:top w:val="single" w:sz="4" w:space="0" w:color="auto"/>
      </w:tblBorders>
      <w:tblLook w:val="04A0" w:firstRow="1" w:lastRow="0" w:firstColumn="1" w:lastColumn="0" w:noHBand="0" w:noVBand="1"/>
    </w:tblPr>
    <w:tblGrid>
      <w:gridCol w:w="9350"/>
    </w:tblGrid>
    <w:tr w:rsidR="009A7A02" w:rsidRPr="009A7A02" w:rsidTr="009A7A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rsidR="009A7A02" w:rsidRPr="009A7A02" w:rsidRDefault="009A7A02" w:rsidP="009A7A02">
          <w:pPr>
            <w:pStyle w:val="Footer"/>
            <w:ind w:firstLine="0"/>
            <w:jc w:val="center"/>
            <w:rPr>
              <w:b w:val="0"/>
              <w:sz w:val="18"/>
            </w:rPr>
          </w:pPr>
          <w:r>
            <w:rPr>
              <w:b w:val="0"/>
              <w:sz w:val="18"/>
            </w:rPr>
            <w:t>Committee meeting materials may be accessed online at https://apps.legislature.ky.gov/CommitteeDocuments/331</w:t>
          </w:r>
        </w:p>
      </w:tc>
    </w:tr>
  </w:tbl>
  <w:p w:rsidR="007D5D47" w:rsidRPr="009A7A02" w:rsidRDefault="009A7A02" w:rsidP="009A7A02">
    <w:pPr>
      <w:pStyle w:val="Footer"/>
      <w:jc w:val="center"/>
    </w:pPr>
    <w:r>
      <w:fldChar w:fldCharType="begin"/>
    </w:r>
    <w:r>
      <w:instrText xml:space="preserve"> PAGE  \* Arabic  \* MERGEFORMAT </w:instrText>
    </w:r>
    <w:r>
      <w:fldChar w:fldCharType="separate"/>
    </w:r>
    <w:r w:rsidR="004A6FEE">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98E" w:rsidRDefault="0033298E">
      <w:r>
        <w:separator/>
      </w:r>
    </w:p>
  </w:footnote>
  <w:footnote w:type="continuationSeparator" w:id="0">
    <w:p w:rsidR="0033298E" w:rsidRDefault="0033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8"/>
  <w:printFractionalCharacterWidth/>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mailaddr" w:val="carla.montgomery@lrc.ky.gov"/>
    <w:docVar w:name="minpath" w:val="u:\minutes\publicwater\\190918.docx"/>
  </w:docVars>
  <w:rsids>
    <w:rsidRoot w:val="0033298E"/>
    <w:rsid w:val="00011124"/>
    <w:rsid w:val="000155A9"/>
    <w:rsid w:val="00025243"/>
    <w:rsid w:val="00072BAE"/>
    <w:rsid w:val="000A6BA5"/>
    <w:rsid w:val="000B393B"/>
    <w:rsid w:val="000C72B7"/>
    <w:rsid w:val="000E7183"/>
    <w:rsid w:val="001305ED"/>
    <w:rsid w:val="00152E28"/>
    <w:rsid w:val="0017183F"/>
    <w:rsid w:val="0017295D"/>
    <w:rsid w:val="0017539B"/>
    <w:rsid w:val="00190F67"/>
    <w:rsid w:val="001B4BAC"/>
    <w:rsid w:val="001C55C4"/>
    <w:rsid w:val="001D7066"/>
    <w:rsid w:val="001E06A8"/>
    <w:rsid w:val="002001A3"/>
    <w:rsid w:val="0026711A"/>
    <w:rsid w:val="002C4CFE"/>
    <w:rsid w:val="002F0881"/>
    <w:rsid w:val="002F14B2"/>
    <w:rsid w:val="0033298E"/>
    <w:rsid w:val="003B1259"/>
    <w:rsid w:val="003C09B6"/>
    <w:rsid w:val="003D0D93"/>
    <w:rsid w:val="0041341F"/>
    <w:rsid w:val="0041748A"/>
    <w:rsid w:val="00453DFC"/>
    <w:rsid w:val="004729BD"/>
    <w:rsid w:val="00474CF1"/>
    <w:rsid w:val="004A6FEE"/>
    <w:rsid w:val="0051610C"/>
    <w:rsid w:val="005228D4"/>
    <w:rsid w:val="00586E56"/>
    <w:rsid w:val="005F2C7F"/>
    <w:rsid w:val="00626A9D"/>
    <w:rsid w:val="0065000F"/>
    <w:rsid w:val="006511A4"/>
    <w:rsid w:val="00662D31"/>
    <w:rsid w:val="006656A1"/>
    <w:rsid w:val="00694462"/>
    <w:rsid w:val="006A3183"/>
    <w:rsid w:val="006A4503"/>
    <w:rsid w:val="006B1179"/>
    <w:rsid w:val="006B5ADC"/>
    <w:rsid w:val="006D41E0"/>
    <w:rsid w:val="006D46F1"/>
    <w:rsid w:val="006D6B83"/>
    <w:rsid w:val="00702972"/>
    <w:rsid w:val="00702C5D"/>
    <w:rsid w:val="0070770B"/>
    <w:rsid w:val="007324D1"/>
    <w:rsid w:val="00742A71"/>
    <w:rsid w:val="00751AAA"/>
    <w:rsid w:val="00763A1A"/>
    <w:rsid w:val="00776E02"/>
    <w:rsid w:val="00783E00"/>
    <w:rsid w:val="007A2E1E"/>
    <w:rsid w:val="007D0857"/>
    <w:rsid w:val="007D5D47"/>
    <w:rsid w:val="007F0C6B"/>
    <w:rsid w:val="00810991"/>
    <w:rsid w:val="00823E3B"/>
    <w:rsid w:val="0083385E"/>
    <w:rsid w:val="00856B7F"/>
    <w:rsid w:val="008704D0"/>
    <w:rsid w:val="00883907"/>
    <w:rsid w:val="008E17F0"/>
    <w:rsid w:val="008F0429"/>
    <w:rsid w:val="008F395A"/>
    <w:rsid w:val="00912192"/>
    <w:rsid w:val="00947BD2"/>
    <w:rsid w:val="009612F3"/>
    <w:rsid w:val="009A7A02"/>
    <w:rsid w:val="009B4A76"/>
    <w:rsid w:val="009D32A9"/>
    <w:rsid w:val="009E563F"/>
    <w:rsid w:val="00A014B0"/>
    <w:rsid w:val="00A1211A"/>
    <w:rsid w:val="00A13550"/>
    <w:rsid w:val="00A14343"/>
    <w:rsid w:val="00A27371"/>
    <w:rsid w:val="00A31915"/>
    <w:rsid w:val="00A967DC"/>
    <w:rsid w:val="00AA4D6A"/>
    <w:rsid w:val="00AA7AEA"/>
    <w:rsid w:val="00AD4A45"/>
    <w:rsid w:val="00B1063C"/>
    <w:rsid w:val="00B23730"/>
    <w:rsid w:val="00B2799C"/>
    <w:rsid w:val="00B70C95"/>
    <w:rsid w:val="00BB440C"/>
    <w:rsid w:val="00BC3D94"/>
    <w:rsid w:val="00BC42EE"/>
    <w:rsid w:val="00BC5DC0"/>
    <w:rsid w:val="00BF7154"/>
    <w:rsid w:val="00C051AF"/>
    <w:rsid w:val="00C16438"/>
    <w:rsid w:val="00C36C43"/>
    <w:rsid w:val="00C61D48"/>
    <w:rsid w:val="00C74610"/>
    <w:rsid w:val="00C803F6"/>
    <w:rsid w:val="00C96B6B"/>
    <w:rsid w:val="00CB1B67"/>
    <w:rsid w:val="00CB7856"/>
    <w:rsid w:val="00CD0BE9"/>
    <w:rsid w:val="00CD2288"/>
    <w:rsid w:val="00D505B3"/>
    <w:rsid w:val="00D53A4A"/>
    <w:rsid w:val="00D63CC5"/>
    <w:rsid w:val="00D748AC"/>
    <w:rsid w:val="00D9099B"/>
    <w:rsid w:val="00D96C98"/>
    <w:rsid w:val="00DC18A6"/>
    <w:rsid w:val="00DE6C80"/>
    <w:rsid w:val="00DF4661"/>
    <w:rsid w:val="00E15654"/>
    <w:rsid w:val="00E200F3"/>
    <w:rsid w:val="00E20238"/>
    <w:rsid w:val="00E36FC1"/>
    <w:rsid w:val="00E62A79"/>
    <w:rsid w:val="00E915C1"/>
    <w:rsid w:val="00EB5975"/>
    <w:rsid w:val="00EB783A"/>
    <w:rsid w:val="00ED5E43"/>
    <w:rsid w:val="00EF7E8F"/>
    <w:rsid w:val="00F04D5E"/>
    <w:rsid w:val="00F06194"/>
    <w:rsid w:val="00F07117"/>
    <w:rsid w:val="00F07E4E"/>
    <w:rsid w:val="00F213D2"/>
    <w:rsid w:val="00F35B96"/>
    <w:rsid w:val="00F42E38"/>
    <w:rsid w:val="00F52C8C"/>
    <w:rsid w:val="00F564FE"/>
    <w:rsid w:val="00FD0A82"/>
    <w:rsid w:val="00FE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329ED4A-8121-42CB-93EB-1D0F083C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11A"/>
    <w:pPr>
      <w:suppressLineNumbers/>
      <w:ind w:firstLine="720"/>
      <w:jc w:val="both"/>
    </w:pPr>
    <w:rPr>
      <w:sz w:val="26"/>
    </w:rPr>
  </w:style>
  <w:style w:type="paragraph" w:styleId="Heading1">
    <w:name w:val="heading 1"/>
    <w:basedOn w:val="Normal"/>
    <w:qFormat/>
    <w:rsid w:val="00A1211A"/>
    <w:pPr>
      <w:spacing w:line="240" w:lineRule="atLeast"/>
      <w:jc w:val="center"/>
      <w:outlineLvl w:val="0"/>
    </w:pPr>
    <w:rPr>
      <w:rFonts w:ascii="Arial" w:hAnsi="Arial"/>
      <w:b/>
      <w:caps/>
      <w:sz w:val="28"/>
    </w:rPr>
  </w:style>
  <w:style w:type="paragraph" w:styleId="Heading2">
    <w:name w:val="heading 2"/>
    <w:basedOn w:val="Heading1"/>
    <w:qFormat/>
    <w:rsid w:val="00A1211A"/>
    <w:pPr>
      <w:outlineLvl w:val="1"/>
    </w:pPr>
    <w:rPr>
      <w:caps w:val="0"/>
    </w:rPr>
  </w:style>
  <w:style w:type="paragraph" w:styleId="Heading3">
    <w:name w:val="heading 3"/>
    <w:basedOn w:val="Heading2"/>
    <w:qFormat/>
    <w:rsid w:val="00A1211A"/>
    <w:pPr>
      <w:outlineLvl w:val="2"/>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1211A"/>
    <w:pPr>
      <w:tabs>
        <w:tab w:val="center" w:pos="4320"/>
        <w:tab w:val="right" w:pos="8640"/>
      </w:tabs>
    </w:pPr>
  </w:style>
  <w:style w:type="paragraph" w:styleId="NormalIndent">
    <w:name w:val="Normal Indent"/>
    <w:basedOn w:val="Normal"/>
    <w:rsid w:val="00A1211A"/>
    <w:pPr>
      <w:ind w:left="720"/>
    </w:pPr>
  </w:style>
  <w:style w:type="paragraph" w:customStyle="1" w:styleId="ApprovedLine">
    <w:name w:val="Approved Line"/>
    <w:basedOn w:val="Heading1"/>
    <w:rsid w:val="00A1211A"/>
    <w:pPr>
      <w:pBdr>
        <w:top w:val="single" w:sz="12" w:space="1" w:color="auto"/>
        <w:left w:val="single" w:sz="12" w:space="1" w:color="auto"/>
        <w:bottom w:val="single" w:sz="12" w:space="1" w:color="auto"/>
        <w:right w:val="single" w:sz="12" w:space="1" w:color="auto"/>
      </w:pBdr>
      <w:shd w:val="pct10" w:color="auto" w:fill="auto"/>
      <w:ind w:firstLine="0"/>
      <w:jc w:val="left"/>
      <w:outlineLvl w:val="9"/>
    </w:pPr>
    <w:rPr>
      <w:b w:val="0"/>
    </w:rPr>
  </w:style>
  <w:style w:type="paragraph" w:styleId="Header">
    <w:name w:val="header"/>
    <w:basedOn w:val="Normal"/>
    <w:link w:val="HeaderChar"/>
    <w:unhideWhenUsed/>
    <w:rsid w:val="006656A1"/>
    <w:pPr>
      <w:tabs>
        <w:tab w:val="center" w:pos="4680"/>
        <w:tab w:val="right" w:pos="9360"/>
      </w:tabs>
    </w:pPr>
  </w:style>
  <w:style w:type="character" w:customStyle="1" w:styleId="HeaderChar">
    <w:name w:val="Header Char"/>
    <w:basedOn w:val="DefaultParagraphFont"/>
    <w:link w:val="Header"/>
    <w:rsid w:val="006656A1"/>
    <w:rPr>
      <w:sz w:val="26"/>
    </w:rPr>
  </w:style>
  <w:style w:type="table" w:styleId="TableGrid">
    <w:name w:val="Table Grid"/>
    <w:basedOn w:val="TableNormal"/>
    <w:rsid w:val="00665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6656A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semiHidden/>
    <w:unhideWhenUsed/>
    <w:rsid w:val="00E15654"/>
    <w:rPr>
      <w:rFonts w:ascii="Segoe UI" w:hAnsi="Segoe UI" w:cs="Segoe UI"/>
      <w:sz w:val="18"/>
      <w:szCs w:val="18"/>
    </w:rPr>
  </w:style>
  <w:style w:type="character" w:customStyle="1" w:styleId="BalloonTextChar">
    <w:name w:val="Balloon Text Char"/>
    <w:basedOn w:val="DefaultParagraphFont"/>
    <w:link w:val="BalloonText"/>
    <w:semiHidden/>
    <w:rsid w:val="00E156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_13\Min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Minutes.dotm</Template>
  <TotalTime>3</TotalTime>
  <Pages>6</Pages>
  <Words>2252</Words>
  <Characters>12189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Master Minutes Template 1992-93</vt:lpstr>
    </vt:vector>
  </TitlesOfParts>
  <Company>LRC</Company>
  <LinksUpToDate>false</LinksUpToDate>
  <CharactersWithSpaces>14413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Minutes Template 1992-93</dc:title>
  <dc:subject/>
  <dc:creator>Spoonamore, Susan (LRC)</dc:creator>
  <cp:keywords/>
  <cp:lastModifiedBy>Spoonamore, Susan (LRC)</cp:lastModifiedBy>
  <cp:revision>2</cp:revision>
  <cp:lastPrinted>2019-10-09T17:27:00Z</cp:lastPrinted>
  <dcterms:created xsi:type="dcterms:W3CDTF">2019-10-22T19:42:00Z</dcterms:created>
  <dcterms:modified xsi:type="dcterms:W3CDTF">2019-10-22T19:42:00Z</dcterms:modified>
</cp:coreProperties>
</file>