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35A2" w:rsidRPr="00A72A87" w:rsidRDefault="004935A2" w:rsidP="004935A2">
      <w:pPr>
        <w:jc w:val="center"/>
        <w:rPr>
          <w:b/>
          <w:szCs w:val="24"/>
        </w:rPr>
      </w:pPr>
      <w:bookmarkStart w:id="0" w:name="_GoBack"/>
      <w:bookmarkEnd w:id="0"/>
      <w:r w:rsidRPr="00A72A87">
        <w:rPr>
          <w:b/>
          <w:szCs w:val="24"/>
        </w:rPr>
        <w:t>Public Water and Wastewater System Infrastructure Task Force</w:t>
      </w:r>
    </w:p>
    <w:p w:rsidR="004935A2" w:rsidRPr="00A72A87" w:rsidRDefault="004935A2" w:rsidP="004935A2">
      <w:pPr>
        <w:jc w:val="center"/>
        <w:rPr>
          <w:b/>
          <w:szCs w:val="24"/>
        </w:rPr>
      </w:pPr>
      <w:r w:rsidRPr="00A72A87">
        <w:rPr>
          <w:b/>
          <w:szCs w:val="24"/>
        </w:rPr>
        <w:t>Proposed</w:t>
      </w:r>
      <w:r w:rsidR="00B92728" w:rsidRPr="00A72A87">
        <w:rPr>
          <w:b/>
          <w:szCs w:val="24"/>
        </w:rPr>
        <w:t xml:space="preserve"> Recommendations</w:t>
      </w:r>
    </w:p>
    <w:p w:rsidR="007A73F2" w:rsidRPr="00A72A87" w:rsidRDefault="004935A2" w:rsidP="004935A2">
      <w:pPr>
        <w:ind w:left="1440" w:hanging="1440"/>
        <w:jc w:val="center"/>
        <w:rPr>
          <w:b/>
          <w:szCs w:val="24"/>
        </w:rPr>
      </w:pPr>
      <w:r w:rsidRPr="00A72A87">
        <w:rPr>
          <w:b/>
          <w:szCs w:val="24"/>
        </w:rPr>
        <w:t>November 14, 2019</w:t>
      </w:r>
    </w:p>
    <w:p w:rsidR="004935A2" w:rsidRDefault="004935A2" w:rsidP="007A73F2">
      <w:pPr>
        <w:rPr>
          <w:rFonts w:cs="Times New Roman"/>
          <w:szCs w:val="24"/>
        </w:rPr>
      </w:pPr>
    </w:p>
    <w:p w:rsidR="007A73F2" w:rsidRDefault="00B92728" w:rsidP="007A73F2">
      <w:pPr>
        <w:rPr>
          <w:rFonts w:cs="Times New Roman"/>
          <w:szCs w:val="24"/>
        </w:rPr>
      </w:pPr>
      <w:r w:rsidRPr="00B92728">
        <w:rPr>
          <w:rFonts w:cs="Times New Roman"/>
          <w:szCs w:val="24"/>
        </w:rPr>
        <w:t xml:space="preserve">The co-chairs of the task force have reviewed your recommendation preferences and have composed the following list </w:t>
      </w:r>
      <w:r w:rsidR="004935A2">
        <w:rPr>
          <w:rFonts w:cs="Times New Roman"/>
          <w:szCs w:val="24"/>
        </w:rPr>
        <w:t xml:space="preserve">of proposed recommendations </w:t>
      </w:r>
      <w:r w:rsidRPr="00B92728">
        <w:rPr>
          <w:rFonts w:cs="Times New Roman"/>
          <w:szCs w:val="24"/>
        </w:rPr>
        <w:t>to be considered for your approval</w:t>
      </w:r>
      <w:r>
        <w:rPr>
          <w:rFonts w:cs="Times New Roman"/>
          <w:szCs w:val="24"/>
        </w:rPr>
        <w:t>:</w:t>
      </w:r>
    </w:p>
    <w:p w:rsidR="00B92728" w:rsidRDefault="00B92728" w:rsidP="007A73F2">
      <w:pPr>
        <w:rPr>
          <w:rFonts w:cs="Times New Roman"/>
          <w:szCs w:val="24"/>
        </w:rPr>
      </w:pPr>
    </w:p>
    <w:p w:rsidR="00B92728" w:rsidRPr="00B92728" w:rsidRDefault="00B92728" w:rsidP="00B92728">
      <w:pPr>
        <w:pStyle w:val="ListParagraph"/>
        <w:numPr>
          <w:ilvl w:val="0"/>
          <w:numId w:val="11"/>
        </w:numPr>
        <w:rPr>
          <w:rFonts w:cs="Times New Roman"/>
          <w:szCs w:val="24"/>
        </w:rPr>
      </w:pPr>
      <w:r w:rsidRPr="00B92728">
        <w:rPr>
          <w:rFonts w:cs="Times New Roman"/>
          <w:szCs w:val="24"/>
        </w:rPr>
        <w:t xml:space="preserve">Continue the work of the Public Water and Wastewater System Infrastructure Task Force by reauthorizing the task force to meet during the 2020 interim, or by establishing a workgroup attached to the Energy and Environment Cabinet, or by doing both. Any workgroup attached to the cabinet should consist of technical experts, industry professionals, public policy makers, and representatives from stakeholder groups, including but not limited to the groups represented on this task force. The workgroup would report regularly to the General Assembly and continue to meet on an ongoing basis in the coming months and years to develop consensus strategies to address the numerous financial, technical, planning, and managerial challenges faced by water and wastewater utilities throughout the Commonwealth. </w:t>
      </w:r>
    </w:p>
    <w:p w:rsidR="00B92728" w:rsidRPr="00B92728" w:rsidRDefault="00B92728" w:rsidP="00B92728">
      <w:pPr>
        <w:rPr>
          <w:rFonts w:cs="Times New Roman"/>
          <w:szCs w:val="24"/>
        </w:rPr>
      </w:pPr>
    </w:p>
    <w:p w:rsidR="00B92728" w:rsidRPr="00B92728" w:rsidRDefault="00B92728" w:rsidP="00B92728">
      <w:pPr>
        <w:pStyle w:val="ListParagraph"/>
        <w:numPr>
          <w:ilvl w:val="0"/>
          <w:numId w:val="11"/>
        </w:numPr>
        <w:rPr>
          <w:rFonts w:cs="Times New Roman"/>
          <w:szCs w:val="24"/>
        </w:rPr>
      </w:pPr>
      <w:r w:rsidRPr="00B92728">
        <w:rPr>
          <w:rFonts w:cs="Times New Roman"/>
          <w:szCs w:val="24"/>
        </w:rPr>
        <w:t xml:space="preserve">Establish a new or recapitalize an existing water and wastewater infrastructure fund to leverage federal grants and loans, assist challenged utilities with infrastructure planning and asset management, and make direct loans and grants to water and wastewater utilities.  </w:t>
      </w:r>
    </w:p>
    <w:p w:rsidR="00B92728" w:rsidRPr="00B92728" w:rsidRDefault="00B92728" w:rsidP="00B92728">
      <w:pPr>
        <w:rPr>
          <w:rFonts w:cs="Times New Roman"/>
          <w:szCs w:val="24"/>
        </w:rPr>
      </w:pPr>
    </w:p>
    <w:p w:rsidR="00B92728" w:rsidRPr="00B92728" w:rsidRDefault="00B92728" w:rsidP="00B92728">
      <w:pPr>
        <w:pStyle w:val="ListParagraph"/>
        <w:numPr>
          <w:ilvl w:val="0"/>
          <w:numId w:val="11"/>
        </w:numPr>
        <w:rPr>
          <w:rFonts w:cs="Times New Roman"/>
          <w:szCs w:val="24"/>
        </w:rPr>
      </w:pPr>
      <w:r w:rsidRPr="00B92728">
        <w:rPr>
          <w:rFonts w:cs="Times New Roman"/>
          <w:szCs w:val="24"/>
        </w:rPr>
        <w:t>Condition any state loans or grants to public water or wastewater utilities on certain technical, financial, and managerial performance benchmarks as established by the appropriate state entity.</w:t>
      </w:r>
    </w:p>
    <w:p w:rsidR="00B92728" w:rsidRPr="00B92728" w:rsidRDefault="00B92728" w:rsidP="00B92728">
      <w:pPr>
        <w:rPr>
          <w:rFonts w:cs="Times New Roman"/>
          <w:szCs w:val="24"/>
        </w:rPr>
      </w:pPr>
    </w:p>
    <w:p w:rsidR="00B92728" w:rsidRPr="00B92728" w:rsidRDefault="00B92728" w:rsidP="00B92728">
      <w:pPr>
        <w:pStyle w:val="ListParagraph"/>
        <w:numPr>
          <w:ilvl w:val="0"/>
          <w:numId w:val="11"/>
        </w:numPr>
        <w:rPr>
          <w:rFonts w:cs="Times New Roman"/>
          <w:szCs w:val="24"/>
        </w:rPr>
      </w:pPr>
      <w:r w:rsidRPr="00B92728">
        <w:rPr>
          <w:rFonts w:cs="Times New Roman"/>
          <w:szCs w:val="24"/>
        </w:rPr>
        <w:t>Require the development by the appropriate state entity of best management practices for public water and wastewater systems that could be used as standards for the operation and maintenance of those systems. Best management practices may relate to: asset management, revenue requirements, financial assistance compliance, staff adequacy and training, and maintaining adequate asset management and capital expenditure plans, among other things.</w:t>
      </w:r>
    </w:p>
    <w:p w:rsidR="00B92728" w:rsidRPr="00B92728" w:rsidRDefault="00B92728" w:rsidP="00B92728">
      <w:pPr>
        <w:rPr>
          <w:rFonts w:cs="Times New Roman"/>
          <w:szCs w:val="24"/>
        </w:rPr>
      </w:pPr>
    </w:p>
    <w:p w:rsidR="00B92728" w:rsidRPr="00B92728" w:rsidRDefault="00B92728" w:rsidP="00B92728">
      <w:pPr>
        <w:pStyle w:val="ListParagraph"/>
        <w:numPr>
          <w:ilvl w:val="0"/>
          <w:numId w:val="11"/>
        </w:numPr>
        <w:rPr>
          <w:rFonts w:cs="Times New Roman"/>
          <w:szCs w:val="24"/>
        </w:rPr>
      </w:pPr>
      <w:r w:rsidRPr="00B92728">
        <w:rPr>
          <w:rFonts w:cs="Times New Roman"/>
          <w:szCs w:val="24"/>
        </w:rPr>
        <w:t>Require the appropriate state entity to establish a uniform evaluation process to identify challenged public water and wastewater utilities that lack technical, managerial, or financial capacity. Once identified, the state entity would develop an action plan for a challenged utility, and provide for the technical, financial, and training assistance that it will need to implement the plan.</w:t>
      </w:r>
    </w:p>
    <w:p w:rsidR="00B92728" w:rsidRPr="00B92728" w:rsidRDefault="00B92728" w:rsidP="00B92728">
      <w:pPr>
        <w:rPr>
          <w:rFonts w:cs="Times New Roman"/>
          <w:szCs w:val="24"/>
        </w:rPr>
      </w:pPr>
    </w:p>
    <w:p w:rsidR="00B92728" w:rsidRPr="00B92728" w:rsidRDefault="00B92728" w:rsidP="00B92728">
      <w:pPr>
        <w:pStyle w:val="ListParagraph"/>
        <w:numPr>
          <w:ilvl w:val="0"/>
          <w:numId w:val="11"/>
        </w:numPr>
        <w:rPr>
          <w:rFonts w:cs="Times New Roman"/>
          <w:szCs w:val="24"/>
        </w:rPr>
      </w:pPr>
      <w:r w:rsidRPr="00B92728">
        <w:rPr>
          <w:rFonts w:cs="Times New Roman"/>
          <w:szCs w:val="24"/>
        </w:rPr>
        <w:t>Establish initial and continuing training requirements for all water and wastewater board members, commissioners, and decision makers to be administered and enforced by the appropriate state or state-authorized entity.</w:t>
      </w:r>
    </w:p>
    <w:p w:rsidR="00B92728" w:rsidRPr="00B92728" w:rsidRDefault="00B92728" w:rsidP="00B92728">
      <w:pPr>
        <w:rPr>
          <w:rFonts w:cs="Times New Roman"/>
          <w:szCs w:val="24"/>
        </w:rPr>
      </w:pPr>
    </w:p>
    <w:p w:rsidR="00B92728" w:rsidRPr="00B92728" w:rsidRDefault="00B92728" w:rsidP="00B92728">
      <w:pPr>
        <w:pStyle w:val="ListParagraph"/>
        <w:numPr>
          <w:ilvl w:val="0"/>
          <w:numId w:val="11"/>
        </w:numPr>
        <w:rPr>
          <w:rFonts w:cs="Times New Roman"/>
          <w:szCs w:val="24"/>
        </w:rPr>
      </w:pPr>
      <w:r w:rsidRPr="00B92728">
        <w:rPr>
          <w:rFonts w:cs="Times New Roman"/>
          <w:szCs w:val="24"/>
        </w:rPr>
        <w:t>Require annual financial audits and reporting, regular rate reviews, and establish regular rate adjustment criteria for all public water and wastewater utilities.</w:t>
      </w:r>
    </w:p>
    <w:p w:rsidR="00B92728" w:rsidRPr="00B92728" w:rsidRDefault="00B92728" w:rsidP="00B92728">
      <w:pPr>
        <w:rPr>
          <w:rFonts w:cs="Times New Roman"/>
          <w:szCs w:val="24"/>
        </w:rPr>
      </w:pPr>
    </w:p>
    <w:p w:rsidR="00B92728" w:rsidRPr="00B92728" w:rsidRDefault="00B92728" w:rsidP="00B92728">
      <w:pPr>
        <w:pStyle w:val="ListParagraph"/>
        <w:numPr>
          <w:ilvl w:val="0"/>
          <w:numId w:val="11"/>
        </w:numPr>
        <w:rPr>
          <w:rFonts w:cs="Times New Roman"/>
          <w:szCs w:val="24"/>
        </w:rPr>
      </w:pPr>
      <w:r w:rsidRPr="00B92728">
        <w:rPr>
          <w:rFonts w:cs="Times New Roman"/>
          <w:szCs w:val="24"/>
        </w:rPr>
        <w:t>Study the adoption of a Tennessee-based model that would authorize a new or existing state entity or entities to have jurisdiction over all of Kentucky’s water and wastewater utilities to ensure their financial and operational capacities and establish parameters for accountability, including oversight of annual utility financial, operations, and water loss audits.  The entity or entities would be authorized to propose measures to bring any noncompliant utility back into financial and operational compliance.</w:t>
      </w:r>
    </w:p>
    <w:p w:rsidR="00B92728" w:rsidRPr="00B92728" w:rsidRDefault="00B92728" w:rsidP="00B92728">
      <w:pPr>
        <w:rPr>
          <w:rFonts w:cs="Times New Roman"/>
          <w:szCs w:val="24"/>
        </w:rPr>
      </w:pPr>
    </w:p>
    <w:p w:rsidR="00B92728" w:rsidRPr="00B92728" w:rsidRDefault="00B92728" w:rsidP="00B92728">
      <w:pPr>
        <w:pStyle w:val="ListParagraph"/>
        <w:numPr>
          <w:ilvl w:val="0"/>
          <w:numId w:val="11"/>
        </w:numPr>
        <w:rPr>
          <w:rFonts w:cs="Times New Roman"/>
          <w:szCs w:val="24"/>
        </w:rPr>
      </w:pPr>
      <w:r w:rsidRPr="00B92728">
        <w:rPr>
          <w:rFonts w:cs="Times New Roman"/>
          <w:szCs w:val="24"/>
        </w:rPr>
        <w:t>Study the regionalized pooling of resources and professional services, and hiring and qualification criteria for those services, for challenged water and wastewater utilities to more efficiently manage their facilities and meet auditing and reporting standards.</w:t>
      </w:r>
    </w:p>
    <w:p w:rsidR="00000363" w:rsidRDefault="00000363" w:rsidP="008D5CD9">
      <w:pPr>
        <w:rPr>
          <w:rFonts w:cs="Times New Roman"/>
          <w:szCs w:val="24"/>
        </w:rPr>
      </w:pPr>
    </w:p>
    <w:sectPr w:rsidR="00000363" w:rsidSect="00E91117">
      <w:type w:val="continuous"/>
      <w:pgSz w:w="12240" w:h="15840" w:code="1"/>
      <w:pgMar w:top="1440" w:right="1440" w:bottom="1440" w:left="1440" w:header="634"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72277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7EDD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75EDF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3347C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4904F8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E62957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14E57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550FA0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FDC3B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30C7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3F7B1A"/>
    <w:multiLevelType w:val="hybridMultilevel"/>
    <w:tmpl w:val="4D8C65B6"/>
    <w:lvl w:ilvl="0" w:tplc="76341374">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F2"/>
    <w:rsid w:val="00000363"/>
    <w:rsid w:val="00003218"/>
    <w:rsid w:val="0001471C"/>
    <w:rsid w:val="00045783"/>
    <w:rsid w:val="00070E7E"/>
    <w:rsid w:val="000716CA"/>
    <w:rsid w:val="000C1E3A"/>
    <w:rsid w:val="00110F61"/>
    <w:rsid w:val="00114385"/>
    <w:rsid w:val="001254BF"/>
    <w:rsid w:val="00151815"/>
    <w:rsid w:val="00154CAA"/>
    <w:rsid w:val="0015509E"/>
    <w:rsid w:val="00162AF7"/>
    <w:rsid w:val="001739F8"/>
    <w:rsid w:val="00176750"/>
    <w:rsid w:val="001927C5"/>
    <w:rsid w:val="0019417B"/>
    <w:rsid w:val="001B168C"/>
    <w:rsid w:val="001E46B3"/>
    <w:rsid w:val="001F0BAB"/>
    <w:rsid w:val="001F2929"/>
    <w:rsid w:val="001F4BBE"/>
    <w:rsid w:val="0021294F"/>
    <w:rsid w:val="00216DBC"/>
    <w:rsid w:val="00225BE0"/>
    <w:rsid w:val="00233F93"/>
    <w:rsid w:val="002414E0"/>
    <w:rsid w:val="00244252"/>
    <w:rsid w:val="00250BC2"/>
    <w:rsid w:val="00250E29"/>
    <w:rsid w:val="0029063B"/>
    <w:rsid w:val="00290D73"/>
    <w:rsid w:val="002B0000"/>
    <w:rsid w:val="002B3EF1"/>
    <w:rsid w:val="002E088B"/>
    <w:rsid w:val="00313792"/>
    <w:rsid w:val="00315A31"/>
    <w:rsid w:val="003168DC"/>
    <w:rsid w:val="00333CF1"/>
    <w:rsid w:val="003369DA"/>
    <w:rsid w:val="00365E3C"/>
    <w:rsid w:val="003B1AC4"/>
    <w:rsid w:val="003B5195"/>
    <w:rsid w:val="003D0788"/>
    <w:rsid w:val="003D5391"/>
    <w:rsid w:val="003D621F"/>
    <w:rsid w:val="003D7F32"/>
    <w:rsid w:val="003E75AF"/>
    <w:rsid w:val="003F5054"/>
    <w:rsid w:val="00416CC6"/>
    <w:rsid w:val="004209DF"/>
    <w:rsid w:val="00430045"/>
    <w:rsid w:val="00440F55"/>
    <w:rsid w:val="004430E4"/>
    <w:rsid w:val="00446F17"/>
    <w:rsid w:val="00450393"/>
    <w:rsid w:val="00451AEE"/>
    <w:rsid w:val="00486613"/>
    <w:rsid w:val="00490689"/>
    <w:rsid w:val="00490D05"/>
    <w:rsid w:val="004935A2"/>
    <w:rsid w:val="00500C0D"/>
    <w:rsid w:val="00517AA3"/>
    <w:rsid w:val="00524CB6"/>
    <w:rsid w:val="00536A4D"/>
    <w:rsid w:val="0054094F"/>
    <w:rsid w:val="00544FCA"/>
    <w:rsid w:val="0057635E"/>
    <w:rsid w:val="00580E98"/>
    <w:rsid w:val="005845D9"/>
    <w:rsid w:val="00595687"/>
    <w:rsid w:val="005A696E"/>
    <w:rsid w:val="005B1BF8"/>
    <w:rsid w:val="005B4A4F"/>
    <w:rsid w:val="005B627B"/>
    <w:rsid w:val="005C3982"/>
    <w:rsid w:val="005D5887"/>
    <w:rsid w:val="005E5DB4"/>
    <w:rsid w:val="005E6DB8"/>
    <w:rsid w:val="00606C17"/>
    <w:rsid w:val="00643F8C"/>
    <w:rsid w:val="006463BF"/>
    <w:rsid w:val="006614F2"/>
    <w:rsid w:val="00690703"/>
    <w:rsid w:val="006A5A73"/>
    <w:rsid w:val="006B2388"/>
    <w:rsid w:val="006B352A"/>
    <w:rsid w:val="006C6A57"/>
    <w:rsid w:val="006E5A31"/>
    <w:rsid w:val="006F7973"/>
    <w:rsid w:val="00701D77"/>
    <w:rsid w:val="007043D4"/>
    <w:rsid w:val="007072BD"/>
    <w:rsid w:val="00744AAF"/>
    <w:rsid w:val="00753028"/>
    <w:rsid w:val="00763BA0"/>
    <w:rsid w:val="00767C04"/>
    <w:rsid w:val="00775098"/>
    <w:rsid w:val="00780DEA"/>
    <w:rsid w:val="0078715E"/>
    <w:rsid w:val="00795248"/>
    <w:rsid w:val="007A73F2"/>
    <w:rsid w:val="007E23E2"/>
    <w:rsid w:val="00801281"/>
    <w:rsid w:val="0081666C"/>
    <w:rsid w:val="00825345"/>
    <w:rsid w:val="00833E3A"/>
    <w:rsid w:val="0086526A"/>
    <w:rsid w:val="008676F0"/>
    <w:rsid w:val="008772AC"/>
    <w:rsid w:val="00885296"/>
    <w:rsid w:val="008969F7"/>
    <w:rsid w:val="008A092A"/>
    <w:rsid w:val="008A28B6"/>
    <w:rsid w:val="008B008B"/>
    <w:rsid w:val="008C72C4"/>
    <w:rsid w:val="008D5CD9"/>
    <w:rsid w:val="008F7BB6"/>
    <w:rsid w:val="00936713"/>
    <w:rsid w:val="00951ABF"/>
    <w:rsid w:val="009564EB"/>
    <w:rsid w:val="00963E76"/>
    <w:rsid w:val="0097084D"/>
    <w:rsid w:val="009A408A"/>
    <w:rsid w:val="009A5B25"/>
    <w:rsid w:val="009A66E8"/>
    <w:rsid w:val="009B3DEA"/>
    <w:rsid w:val="009B6138"/>
    <w:rsid w:val="009D74BA"/>
    <w:rsid w:val="009F3D92"/>
    <w:rsid w:val="00A03B1C"/>
    <w:rsid w:val="00A118B5"/>
    <w:rsid w:val="00A12D91"/>
    <w:rsid w:val="00A20B69"/>
    <w:rsid w:val="00A37FB5"/>
    <w:rsid w:val="00A42E36"/>
    <w:rsid w:val="00A658A0"/>
    <w:rsid w:val="00A722E1"/>
    <w:rsid w:val="00A72A87"/>
    <w:rsid w:val="00A76C51"/>
    <w:rsid w:val="00AA04C6"/>
    <w:rsid w:val="00AA508C"/>
    <w:rsid w:val="00AA6AAC"/>
    <w:rsid w:val="00AB771D"/>
    <w:rsid w:val="00AE7692"/>
    <w:rsid w:val="00AF43C8"/>
    <w:rsid w:val="00B14EFF"/>
    <w:rsid w:val="00B168B6"/>
    <w:rsid w:val="00B30A99"/>
    <w:rsid w:val="00B51200"/>
    <w:rsid w:val="00B63D96"/>
    <w:rsid w:val="00B67364"/>
    <w:rsid w:val="00B75B7E"/>
    <w:rsid w:val="00B850D1"/>
    <w:rsid w:val="00B92728"/>
    <w:rsid w:val="00B96C8E"/>
    <w:rsid w:val="00BA23EC"/>
    <w:rsid w:val="00BD1381"/>
    <w:rsid w:val="00BF7D4D"/>
    <w:rsid w:val="00C03D96"/>
    <w:rsid w:val="00C13BD2"/>
    <w:rsid w:val="00C273AE"/>
    <w:rsid w:val="00C368E8"/>
    <w:rsid w:val="00C37717"/>
    <w:rsid w:val="00C45937"/>
    <w:rsid w:val="00C55980"/>
    <w:rsid w:val="00C716C4"/>
    <w:rsid w:val="00CF5C85"/>
    <w:rsid w:val="00CF66B2"/>
    <w:rsid w:val="00CF7D6B"/>
    <w:rsid w:val="00D21C20"/>
    <w:rsid w:val="00D24C2B"/>
    <w:rsid w:val="00D371C4"/>
    <w:rsid w:val="00D40E2F"/>
    <w:rsid w:val="00D4105E"/>
    <w:rsid w:val="00D42E15"/>
    <w:rsid w:val="00D462DE"/>
    <w:rsid w:val="00D57F1E"/>
    <w:rsid w:val="00D62E4E"/>
    <w:rsid w:val="00D70AAB"/>
    <w:rsid w:val="00D74480"/>
    <w:rsid w:val="00DB68C2"/>
    <w:rsid w:val="00DD1590"/>
    <w:rsid w:val="00DD2D04"/>
    <w:rsid w:val="00DD7A9D"/>
    <w:rsid w:val="00DE264A"/>
    <w:rsid w:val="00DE2EBA"/>
    <w:rsid w:val="00DE5E35"/>
    <w:rsid w:val="00E16B2F"/>
    <w:rsid w:val="00E17E06"/>
    <w:rsid w:val="00E44470"/>
    <w:rsid w:val="00E62A62"/>
    <w:rsid w:val="00E720AD"/>
    <w:rsid w:val="00E84E24"/>
    <w:rsid w:val="00E91117"/>
    <w:rsid w:val="00E96B4B"/>
    <w:rsid w:val="00EC4521"/>
    <w:rsid w:val="00ED24FB"/>
    <w:rsid w:val="00ED6DEC"/>
    <w:rsid w:val="00ED7618"/>
    <w:rsid w:val="00F1475D"/>
    <w:rsid w:val="00F311C1"/>
    <w:rsid w:val="00F3452A"/>
    <w:rsid w:val="00F45DEA"/>
    <w:rsid w:val="00F533C6"/>
    <w:rsid w:val="00F553B6"/>
    <w:rsid w:val="00F63F3F"/>
    <w:rsid w:val="00F6581E"/>
    <w:rsid w:val="00F72700"/>
    <w:rsid w:val="00F8669A"/>
    <w:rsid w:val="00FB7532"/>
    <w:rsid w:val="00FD4068"/>
    <w:rsid w:val="00FD72ED"/>
    <w:rsid w:val="00FE1B71"/>
    <w:rsid w:val="00FE2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B739581E-510C-4FC3-9390-A460FC1C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A9D"/>
    <w:pPr>
      <w:jc w:val="left"/>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ed">
    <w:name w:val="Centered"/>
    <w:qFormat/>
    <w:rsid w:val="00F63F3F"/>
    <w:rPr>
      <w:rFonts w:ascii="Arial" w:eastAsia="Times New Roman" w:hAnsi="Arial" w:cs="Times New Roman"/>
      <w:sz w:val="16"/>
      <w:szCs w:val="20"/>
    </w:rPr>
  </w:style>
  <w:style w:type="paragraph" w:styleId="BalloonText">
    <w:name w:val="Balloon Text"/>
    <w:basedOn w:val="Normal"/>
    <w:link w:val="BalloonTextChar"/>
    <w:uiPriority w:val="99"/>
    <w:semiHidden/>
    <w:unhideWhenUsed/>
    <w:rsid w:val="00A118B5"/>
    <w:rPr>
      <w:rFonts w:ascii="Tahoma" w:hAnsi="Tahoma" w:cs="Tahoma"/>
      <w:sz w:val="16"/>
      <w:szCs w:val="16"/>
    </w:rPr>
  </w:style>
  <w:style w:type="character" w:customStyle="1" w:styleId="BalloonTextChar">
    <w:name w:val="Balloon Text Char"/>
    <w:basedOn w:val="DefaultParagraphFont"/>
    <w:link w:val="BalloonText"/>
    <w:uiPriority w:val="99"/>
    <w:semiHidden/>
    <w:rsid w:val="00A118B5"/>
    <w:rPr>
      <w:rFonts w:ascii="Tahoma" w:hAnsi="Tahoma" w:cs="Tahoma"/>
      <w:sz w:val="16"/>
      <w:szCs w:val="16"/>
    </w:rPr>
  </w:style>
  <w:style w:type="paragraph" w:styleId="BodyText">
    <w:name w:val="Body Text"/>
    <w:basedOn w:val="Normal"/>
    <w:link w:val="BodyTextChar"/>
    <w:unhideWhenUsed/>
    <w:rsid w:val="007A73F2"/>
    <w:pPr>
      <w:tabs>
        <w:tab w:val="left" w:pos="0"/>
      </w:tabs>
    </w:pPr>
    <w:rPr>
      <w:rFonts w:eastAsia="Times New Roman" w:cs="Times New Roman"/>
      <w:szCs w:val="20"/>
    </w:rPr>
  </w:style>
  <w:style w:type="character" w:customStyle="1" w:styleId="BodyTextChar">
    <w:name w:val="Body Text Char"/>
    <w:basedOn w:val="DefaultParagraphFont"/>
    <w:link w:val="BodyText"/>
    <w:rsid w:val="007A73F2"/>
    <w:rPr>
      <w:rFonts w:ascii="Times New Roman" w:eastAsia="Times New Roman" w:hAnsi="Times New Roman" w:cs="Times New Roman"/>
      <w:sz w:val="24"/>
      <w:szCs w:val="20"/>
    </w:rPr>
  </w:style>
  <w:style w:type="paragraph" w:styleId="ListParagraph">
    <w:name w:val="List Paragraph"/>
    <w:basedOn w:val="Normal"/>
    <w:uiPriority w:val="34"/>
    <w:qFormat/>
    <w:rsid w:val="00B927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655112">
      <w:bodyDiv w:val="1"/>
      <w:marLeft w:val="0"/>
      <w:marRight w:val="0"/>
      <w:marTop w:val="0"/>
      <w:marBottom w:val="0"/>
      <w:divBdr>
        <w:top w:val="none" w:sz="0" w:space="0" w:color="auto"/>
        <w:left w:val="none" w:sz="0" w:space="0" w:color="auto"/>
        <w:bottom w:val="none" w:sz="0" w:space="0" w:color="auto"/>
        <w:right w:val="none" w:sz="0" w:space="0" w:color="auto"/>
      </w:divBdr>
    </w:div>
    <w:div w:id="110318377">
      <w:bodyDiv w:val="1"/>
      <w:marLeft w:val="0"/>
      <w:marRight w:val="0"/>
      <w:marTop w:val="0"/>
      <w:marBottom w:val="0"/>
      <w:divBdr>
        <w:top w:val="none" w:sz="0" w:space="0" w:color="auto"/>
        <w:left w:val="none" w:sz="0" w:space="0" w:color="auto"/>
        <w:bottom w:val="none" w:sz="0" w:space="0" w:color="auto"/>
        <w:right w:val="none" w:sz="0" w:space="0" w:color="auto"/>
      </w:divBdr>
    </w:div>
    <w:div w:id="227300388">
      <w:bodyDiv w:val="1"/>
      <w:marLeft w:val="0"/>
      <w:marRight w:val="0"/>
      <w:marTop w:val="0"/>
      <w:marBottom w:val="0"/>
      <w:divBdr>
        <w:top w:val="none" w:sz="0" w:space="0" w:color="auto"/>
        <w:left w:val="none" w:sz="0" w:space="0" w:color="auto"/>
        <w:bottom w:val="none" w:sz="0" w:space="0" w:color="auto"/>
        <w:right w:val="none" w:sz="0" w:space="0" w:color="auto"/>
      </w:divBdr>
    </w:div>
    <w:div w:id="378942351">
      <w:bodyDiv w:val="1"/>
      <w:marLeft w:val="0"/>
      <w:marRight w:val="0"/>
      <w:marTop w:val="0"/>
      <w:marBottom w:val="0"/>
      <w:divBdr>
        <w:top w:val="none" w:sz="0" w:space="0" w:color="auto"/>
        <w:left w:val="none" w:sz="0" w:space="0" w:color="auto"/>
        <w:bottom w:val="none" w:sz="0" w:space="0" w:color="auto"/>
        <w:right w:val="none" w:sz="0" w:space="0" w:color="auto"/>
      </w:divBdr>
    </w:div>
    <w:div w:id="476999167">
      <w:bodyDiv w:val="1"/>
      <w:marLeft w:val="0"/>
      <w:marRight w:val="0"/>
      <w:marTop w:val="0"/>
      <w:marBottom w:val="0"/>
      <w:divBdr>
        <w:top w:val="none" w:sz="0" w:space="0" w:color="auto"/>
        <w:left w:val="none" w:sz="0" w:space="0" w:color="auto"/>
        <w:bottom w:val="none" w:sz="0" w:space="0" w:color="auto"/>
        <w:right w:val="none" w:sz="0" w:space="0" w:color="auto"/>
      </w:divBdr>
    </w:div>
    <w:div w:id="563953492">
      <w:bodyDiv w:val="1"/>
      <w:marLeft w:val="0"/>
      <w:marRight w:val="0"/>
      <w:marTop w:val="0"/>
      <w:marBottom w:val="0"/>
      <w:divBdr>
        <w:top w:val="none" w:sz="0" w:space="0" w:color="auto"/>
        <w:left w:val="none" w:sz="0" w:space="0" w:color="auto"/>
        <w:bottom w:val="none" w:sz="0" w:space="0" w:color="auto"/>
        <w:right w:val="none" w:sz="0" w:space="0" w:color="auto"/>
      </w:divBdr>
    </w:div>
    <w:div w:id="1294410711">
      <w:bodyDiv w:val="1"/>
      <w:marLeft w:val="0"/>
      <w:marRight w:val="0"/>
      <w:marTop w:val="0"/>
      <w:marBottom w:val="0"/>
      <w:divBdr>
        <w:top w:val="none" w:sz="0" w:space="0" w:color="auto"/>
        <w:left w:val="none" w:sz="0" w:space="0" w:color="auto"/>
        <w:bottom w:val="none" w:sz="0" w:space="0" w:color="auto"/>
        <w:right w:val="none" w:sz="0" w:space="0" w:color="auto"/>
      </w:divBdr>
    </w:div>
    <w:div w:id="1441297010">
      <w:bodyDiv w:val="1"/>
      <w:marLeft w:val="0"/>
      <w:marRight w:val="0"/>
      <w:marTop w:val="0"/>
      <w:marBottom w:val="0"/>
      <w:divBdr>
        <w:top w:val="none" w:sz="0" w:space="0" w:color="auto"/>
        <w:left w:val="none" w:sz="0" w:space="0" w:color="auto"/>
        <w:bottom w:val="none" w:sz="0" w:space="0" w:color="auto"/>
        <w:right w:val="none" w:sz="0" w:space="0" w:color="auto"/>
      </w:divBdr>
    </w:div>
    <w:div w:id="1747074584">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_13\LETRHEA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8B3B7F-5593-4E15-A31F-11370C097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LETRHEAD.dotm</Template>
  <TotalTime>21</TotalTime>
  <Pages>2</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LRC</Company>
  <LinksUpToDate>false</LinksUpToDate>
  <CharactersWithSpaces>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Hartley, Rachel (LRC)</dc:creator>
  <cp:keywords/>
  <dc:description/>
  <cp:lastModifiedBy>Kasacavage, Stefan (LRC)</cp:lastModifiedBy>
  <cp:revision>6</cp:revision>
  <cp:lastPrinted>2019-11-13T13:41:00Z</cp:lastPrinted>
  <dcterms:created xsi:type="dcterms:W3CDTF">2019-11-13T13:27:00Z</dcterms:created>
  <dcterms:modified xsi:type="dcterms:W3CDTF">2019-11-13T13:56:00Z</dcterms:modified>
</cp:coreProperties>
</file>