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D428" w14:textId="77777777" w:rsidR="00286BC4" w:rsidRPr="006A2FD1" w:rsidRDefault="00286BC4" w:rsidP="00286BC4">
      <w:pPr>
        <w:pStyle w:val="Title"/>
        <w:jc w:val="both"/>
        <w:rPr>
          <w:rFonts w:cs="Arial"/>
          <w:i w:val="0"/>
          <w:sz w:val="28"/>
          <w:szCs w:val="28"/>
        </w:rPr>
      </w:pPr>
      <w:r w:rsidRPr="006A2FD1">
        <w:rPr>
          <w:rFonts w:cs="Arial"/>
          <w:i w:val="0"/>
          <w:sz w:val="28"/>
          <w:szCs w:val="28"/>
        </w:rPr>
        <w:t>EXECUTIVE SUMMARY</w:t>
      </w:r>
    </w:p>
    <w:p w14:paraId="78F6C36A" w14:textId="77777777" w:rsidR="00286BC4" w:rsidRPr="00987DF2" w:rsidRDefault="00286BC4" w:rsidP="00286BC4">
      <w:pPr>
        <w:pStyle w:val="Subtitle"/>
        <w:pBdr>
          <w:bottom w:val="single" w:sz="48" w:space="1" w:color="000000"/>
        </w:pBdr>
        <w:jc w:val="both"/>
        <w:rPr>
          <w:rFonts w:cs="Arial"/>
          <w:sz w:val="28"/>
          <w:szCs w:val="28"/>
        </w:rPr>
      </w:pPr>
      <w:r w:rsidRPr="006A2FD1">
        <w:rPr>
          <w:rFonts w:cs="Arial"/>
          <w:sz w:val="28"/>
          <w:szCs w:val="28"/>
        </w:rPr>
        <w:t>Unified Community Mental Health and Substance Abuse Prevention and Treatment Block Grant Application for FFY</w:t>
      </w:r>
      <w:r>
        <w:rPr>
          <w:rFonts w:cs="Arial"/>
          <w:sz w:val="28"/>
          <w:szCs w:val="28"/>
        </w:rPr>
        <w:t xml:space="preserve"> 2024 - 2025</w:t>
      </w:r>
      <w:r w:rsidRPr="00987DF2">
        <w:rPr>
          <w:rFonts w:cs="Arial"/>
          <w:sz w:val="28"/>
          <w:szCs w:val="28"/>
        </w:rPr>
        <w:t xml:space="preserve"> Funds</w:t>
      </w:r>
    </w:p>
    <w:p w14:paraId="2DB3C540" w14:textId="77777777" w:rsidR="00286BC4" w:rsidRPr="00900162" w:rsidRDefault="00286BC4" w:rsidP="00286BC4">
      <w:pPr>
        <w:jc w:val="both"/>
        <w:rPr>
          <w:rFonts w:ascii="Arial Narrow" w:hAnsi="Arial Narrow" w:cs="Arial"/>
          <w:i/>
          <w:sz w:val="24"/>
          <w:szCs w:val="24"/>
        </w:rPr>
      </w:pPr>
      <w:r w:rsidRPr="00900162">
        <w:rPr>
          <w:rFonts w:ascii="Arial Narrow" w:hAnsi="Arial Narrow" w:cs="Arial"/>
          <w:i/>
          <w:sz w:val="24"/>
          <w:szCs w:val="24"/>
        </w:rPr>
        <w:t xml:space="preserve">Please note that no Executive Summary is required/able to be loaded into the electronic web application but is provided by KDBHDID for informational purposes.  </w:t>
      </w:r>
    </w:p>
    <w:p w14:paraId="64A2F8F2" w14:textId="77777777" w:rsidR="00286BC4" w:rsidRPr="00A85858" w:rsidRDefault="00286BC4" w:rsidP="00286BC4">
      <w:pPr>
        <w:jc w:val="both"/>
        <w:rPr>
          <w:rFonts w:ascii="Arial" w:hAnsi="Arial" w:cs="Arial"/>
        </w:rPr>
      </w:pPr>
      <w:r w:rsidRPr="00A85858">
        <w:rPr>
          <w:rFonts w:ascii="Arial" w:hAnsi="Arial" w:cs="Arial"/>
        </w:rPr>
        <w:t xml:space="preserve">This document contains Kentucky’s plan for State Fiscal Years 2024-2025 to strengthen the publicly funded behavioral health systems of care for adults and youth across the Commonwealth.    It is submitted by the Kentucky Department for Behavioral Health, Intellectual and Developmental Disabilities (DBHDID), the state’s designated authority for both mental health and substance use disorder prevention and treatment (in compliance with Public Law 102-321) and applies to funds that will become available in Federal Fiscal Years 2024 and 2025. The anticipated funding for the </w:t>
      </w:r>
      <w:r w:rsidRPr="00A85858">
        <w:rPr>
          <w:rFonts w:ascii="Arial" w:hAnsi="Arial" w:cs="Arial"/>
          <w:b/>
        </w:rPr>
        <w:t>Community Mental Health Services (CMHS) Block Grant is $20,553,587</w:t>
      </w:r>
      <w:r w:rsidRPr="00A85858">
        <w:rPr>
          <w:rFonts w:ascii="Arial" w:hAnsi="Arial" w:cs="Arial"/>
        </w:rPr>
        <w:t xml:space="preserve">, a proposed increase of $7,971,509 from the current year. The anticipated funding for the </w:t>
      </w:r>
      <w:r w:rsidRPr="00A85858">
        <w:rPr>
          <w:rFonts w:ascii="Arial" w:hAnsi="Arial" w:cs="Arial"/>
          <w:b/>
        </w:rPr>
        <w:t>Substance Abuse Prevention and Treatment</w:t>
      </w:r>
      <w:r>
        <w:rPr>
          <w:rFonts w:ascii="Arial" w:hAnsi="Arial" w:cs="Arial"/>
          <w:b/>
        </w:rPr>
        <w:t xml:space="preserve"> (SAPT)</w:t>
      </w:r>
      <w:r w:rsidRPr="00A85858">
        <w:rPr>
          <w:rFonts w:ascii="Arial" w:hAnsi="Arial" w:cs="Arial"/>
          <w:b/>
        </w:rPr>
        <w:t xml:space="preserve"> Block Grant is</w:t>
      </w:r>
      <w:r w:rsidRPr="00A85858">
        <w:rPr>
          <w:rFonts w:ascii="Arial" w:hAnsi="Arial" w:cs="Arial"/>
          <w:color w:val="000000" w:themeColor="text1"/>
          <w:kern w:val="24"/>
        </w:rPr>
        <w:t xml:space="preserve"> </w:t>
      </w:r>
      <w:r w:rsidRPr="00A85858">
        <w:rPr>
          <w:rFonts w:ascii="Arial" w:hAnsi="Arial" w:cs="Arial"/>
          <w:b/>
          <w:color w:val="000000" w:themeColor="text1"/>
          <w:kern w:val="24"/>
        </w:rPr>
        <w:t xml:space="preserve">$29,615,125, </w:t>
      </w:r>
      <w:r w:rsidRPr="00A85858">
        <w:rPr>
          <w:rFonts w:ascii="Arial" w:hAnsi="Arial" w:cs="Arial"/>
          <w:bCs/>
          <w:color w:val="000000" w:themeColor="text1"/>
          <w:kern w:val="24"/>
        </w:rPr>
        <w:t>a proposed increase of $8,320,213 from the current year</w:t>
      </w:r>
      <w:r w:rsidRPr="00A85858">
        <w:rPr>
          <w:rFonts w:ascii="Arial" w:hAnsi="Arial" w:cs="Arial"/>
          <w:b/>
        </w:rPr>
        <w:t xml:space="preserve">. </w:t>
      </w:r>
      <w:r w:rsidRPr="00A85858">
        <w:rPr>
          <w:rFonts w:ascii="Arial" w:hAnsi="Arial" w:cs="Arial"/>
        </w:rPr>
        <w:t xml:space="preserve">These amounts are the published President’s/SAMHSA’s proposed budget and may change before the October 1, 2023, award date. </w:t>
      </w:r>
      <w:bookmarkStart w:id="0" w:name="_Hlk131430391"/>
      <w:r w:rsidRPr="00A85858">
        <w:rPr>
          <w:rFonts w:ascii="Arial" w:hAnsi="Arial" w:cs="Arial"/>
        </w:rPr>
        <w:t xml:space="preserve">The state also is awarded a small, non-competitive grant for data infrastructure to support the required data reporting for the two Block Grant awards. The current annual award amount is </w:t>
      </w:r>
      <w:r w:rsidRPr="00915EA6">
        <w:rPr>
          <w:rFonts w:ascii="Arial" w:hAnsi="Arial" w:cs="Arial"/>
          <w:b/>
        </w:rPr>
        <w:t>$62,152</w:t>
      </w:r>
      <w:r>
        <w:rPr>
          <w:rFonts w:ascii="Arial" w:hAnsi="Arial" w:cs="Arial"/>
        </w:rPr>
        <w:t xml:space="preserve"> for SAPT and </w:t>
      </w:r>
      <w:r w:rsidRPr="00915EA6">
        <w:rPr>
          <w:rFonts w:ascii="Arial" w:hAnsi="Arial" w:cs="Arial"/>
          <w:b/>
          <w:bCs/>
        </w:rPr>
        <w:t xml:space="preserve">$490,863 </w:t>
      </w:r>
      <w:r>
        <w:rPr>
          <w:rFonts w:ascii="Arial" w:hAnsi="Arial" w:cs="Arial"/>
        </w:rPr>
        <w:t xml:space="preserve">for MHBG. </w:t>
      </w:r>
    </w:p>
    <w:bookmarkEnd w:id="0"/>
    <w:p w14:paraId="5B354DCE" w14:textId="77777777" w:rsidR="00286BC4" w:rsidRPr="00A85858" w:rsidRDefault="00286BC4" w:rsidP="00286BC4">
      <w:pPr>
        <w:jc w:val="both"/>
        <w:rPr>
          <w:rFonts w:ascii="Arial" w:hAnsi="Arial" w:cs="Arial"/>
        </w:rPr>
      </w:pPr>
      <w:r w:rsidRPr="00A85858">
        <w:rPr>
          <w:rFonts w:ascii="Arial" w:hAnsi="Arial" w:cs="Arial"/>
        </w:rPr>
        <w:t xml:space="preserve">Historically, the federal Center for Mental Health Services (CMHS) and the Centers for Substance Abuse Prevention and Treatment (CSAP/CSAT), within the Substance Abuse and Mental Health Services Administration (SAMHSA) have had markedly different planning and application processes, as well as different reporting requirements and timeframes. In recent years, SAMHSA has encouraged states to submit a “unified” application with a significantly changed format. While the funds will continue to be awarded separately, states are strongly encouraged to participate in joint planning in an effort to transform their behavioral health system into one that is fully integrated.  </w:t>
      </w:r>
      <w:r>
        <w:rPr>
          <w:rFonts w:ascii="Arial" w:hAnsi="Arial" w:cs="Arial"/>
        </w:rPr>
        <w:t>Kentucky has utilized the joint planning process since the inception of that request from SAMHSA.</w:t>
      </w:r>
    </w:p>
    <w:p w14:paraId="26F6B546" w14:textId="77777777" w:rsidR="00286BC4" w:rsidRPr="00A85858" w:rsidRDefault="00286BC4" w:rsidP="00286BC4">
      <w:pPr>
        <w:jc w:val="both"/>
        <w:rPr>
          <w:rFonts w:ascii="Arial" w:hAnsi="Arial" w:cs="Arial"/>
        </w:rPr>
      </w:pPr>
      <w:r>
        <w:rPr>
          <w:rFonts w:ascii="Arial" w:hAnsi="Arial" w:cs="Arial"/>
          <w:color w:val="000000"/>
          <w:lang w:val="en"/>
        </w:rPr>
        <w:t xml:space="preserve">Although most states operate on a state fiscal year schedule (July 1 – June 30), Block Grant funds are awarded in federal fiscal year funding cycles (October 1 – September 30). Additionally, Block Grant funds are expended in two-year cycles. The Commonwealth submits a bi-annual plan, based on each total award, and submits an annual abbreviated “funding” application. Planning and reporting for Block Grant funds follow the designated reporting periods required by SAMHSA, which sometimes align with state fiscal year and sometimes with federal fiscal year. A detailed timetable for this is included at the end of this summary.  </w:t>
      </w:r>
    </w:p>
    <w:p w14:paraId="6195054F" w14:textId="77777777" w:rsidR="00286BC4" w:rsidRPr="00182DA3" w:rsidRDefault="00286BC4" w:rsidP="00286BC4">
      <w:pPr>
        <w:jc w:val="both"/>
        <w:rPr>
          <w:rFonts w:ascii="Arial" w:hAnsi="Arial" w:cs="Arial"/>
        </w:rPr>
      </w:pPr>
      <w:r w:rsidRPr="00A85858">
        <w:rPr>
          <w:rFonts w:ascii="Arial" w:hAnsi="Arial" w:cs="Arial"/>
          <w:lang w:val="en"/>
        </w:rPr>
        <w:t xml:space="preserve">Since the passage of the Affordable Care Act and the Health Care and Education Reconciliation Act of 2010 and subsequent implementation regulations, </w:t>
      </w:r>
      <w:r w:rsidRPr="00A85858">
        <w:rPr>
          <w:rFonts w:ascii="Arial" w:hAnsi="Arial" w:cs="Arial"/>
        </w:rPr>
        <w:t>SAMHSA st</w:t>
      </w:r>
      <w:r>
        <w:rPr>
          <w:rFonts w:ascii="Arial" w:hAnsi="Arial" w:cs="Arial"/>
        </w:rPr>
        <w:t>ipulates</w:t>
      </w:r>
      <w:r w:rsidRPr="00A85858">
        <w:rPr>
          <w:rFonts w:ascii="Arial" w:hAnsi="Arial" w:cs="Arial"/>
        </w:rPr>
        <w:t xml:space="preserve"> that Block Grant funds should be directed toward four purposes: 1) To fund priority treatment and support services for individuals without insurance or for whom coverage is terminated for short periods of time; 2)  To fund priority treatment and support services not covered by Medicaid, Medicare or private </w:t>
      </w:r>
      <w:r w:rsidRPr="00A85858">
        <w:rPr>
          <w:rFonts w:ascii="Arial" w:hAnsi="Arial" w:cs="Arial"/>
        </w:rPr>
        <w:lastRenderedPageBreak/>
        <w:t xml:space="preserve">insurance for low income individuals and that demonstrate success in improving outcomes and/or supporting recovery; 3) To </w:t>
      </w:r>
      <w:r w:rsidRPr="00A85858">
        <w:rPr>
          <w:rFonts w:ascii="Arial" w:hAnsi="Arial" w:cs="Arial"/>
          <w:bCs/>
        </w:rPr>
        <w:t xml:space="preserve">fund primary prevention </w:t>
      </w:r>
      <w:r w:rsidRPr="00A85858">
        <w:rPr>
          <w:rFonts w:ascii="Arial" w:hAnsi="Arial" w:cs="Arial"/>
        </w:rPr>
        <w:t xml:space="preserve">– universal, selective and indicated prevention activities and services for persons not identified as needing treatment; and 4) To </w:t>
      </w:r>
      <w:r w:rsidRPr="00A85858">
        <w:rPr>
          <w:rFonts w:ascii="Arial" w:hAnsi="Arial" w:cs="Arial"/>
          <w:bCs/>
        </w:rPr>
        <w:t xml:space="preserve">collect performance and outcome data </w:t>
      </w:r>
      <w:r w:rsidRPr="00A85858">
        <w:rPr>
          <w:rFonts w:ascii="Arial" w:hAnsi="Arial" w:cs="Arial"/>
        </w:rPr>
        <w:t xml:space="preserve">to determine the ongoing effectiveness of behavioral health promotion, treatment and recovery support services and to </w:t>
      </w:r>
      <w:r w:rsidRPr="00A85858">
        <w:rPr>
          <w:rFonts w:ascii="Arial" w:hAnsi="Arial" w:cs="Arial"/>
          <w:bCs/>
        </w:rPr>
        <w:t>plan the implementation of new services</w:t>
      </w:r>
      <w:r w:rsidRPr="00A85858">
        <w:rPr>
          <w:rFonts w:ascii="Arial" w:hAnsi="Arial" w:cs="Arial"/>
        </w:rPr>
        <w:t xml:space="preserve"> on a nationwide basis. States are instructed to include in their plan the efforts made toward the utilization of block grants for these purposes.</w:t>
      </w:r>
    </w:p>
    <w:p w14:paraId="2CF9A176" w14:textId="77777777" w:rsidR="00286BC4" w:rsidRPr="00182DA3" w:rsidRDefault="00286BC4" w:rsidP="00286BC4">
      <w:pPr>
        <w:jc w:val="both"/>
        <w:rPr>
          <w:rFonts w:ascii="Arial" w:hAnsi="Arial" w:cs="Arial"/>
        </w:rPr>
      </w:pPr>
      <w:r w:rsidRPr="00A85858">
        <w:rPr>
          <w:rFonts w:ascii="Arial" w:hAnsi="Arial" w:cs="Arial"/>
        </w:rPr>
        <w:t>Block Grant funds will only be used to carry out the activities identified in Kentucky’s approved plan; to evaluate programs under the plan; and to plan, administer and educate stakeholders regarding services and supports under the plan.  The majority (approximately 85%) of the block grant funds are allocated to Kentucky’s</w:t>
      </w:r>
      <w:r>
        <w:rPr>
          <w:rFonts w:ascii="Arial" w:hAnsi="Arial" w:cs="Arial"/>
        </w:rPr>
        <w:t xml:space="preserve"> 14</w:t>
      </w:r>
      <w:r w:rsidRPr="00A85858">
        <w:rPr>
          <w:rFonts w:ascii="Arial" w:hAnsi="Arial" w:cs="Arial"/>
        </w:rPr>
        <w:t xml:space="preserve"> Regional Behavioral Health Boards (the </w:t>
      </w:r>
      <w:r w:rsidRPr="00A85858">
        <w:rPr>
          <w:rFonts w:ascii="Arial" w:hAnsi="Arial" w:cs="Arial"/>
          <w:i/>
        </w:rPr>
        <w:t>Community Mental Health Centers</w:t>
      </w:r>
      <w:r w:rsidRPr="00A85858">
        <w:rPr>
          <w:rFonts w:ascii="Arial" w:hAnsi="Arial" w:cs="Arial"/>
        </w:rPr>
        <w:t xml:space="preserve">) that provide a full array of mental health and substance </w:t>
      </w:r>
      <w:r>
        <w:rPr>
          <w:rFonts w:ascii="Arial" w:hAnsi="Arial" w:cs="Arial"/>
        </w:rPr>
        <w:t>use disorder</w:t>
      </w:r>
      <w:r w:rsidRPr="00A85858">
        <w:rPr>
          <w:rFonts w:ascii="Arial" w:hAnsi="Arial" w:cs="Arial"/>
        </w:rPr>
        <w:t xml:space="preserve"> prevention and treatment services.  Federal limitations on administrative costs and maintenance of effort requirements will be met.  A</w:t>
      </w:r>
      <w:r>
        <w:rPr>
          <w:rFonts w:ascii="Arial" w:hAnsi="Arial" w:cs="Arial"/>
        </w:rPr>
        <w:t xml:space="preserve"> portion (set by SAMHSA in 1994) of </w:t>
      </w:r>
      <w:r w:rsidRPr="00A85858">
        <w:rPr>
          <w:rFonts w:ascii="Arial" w:hAnsi="Arial" w:cs="Arial"/>
        </w:rPr>
        <w:t>the state’s mental health funding must be set aside for children’s services</w:t>
      </w:r>
      <w:r>
        <w:rPr>
          <w:rFonts w:ascii="Arial" w:hAnsi="Arial" w:cs="Arial"/>
        </w:rPr>
        <w:t>. T</w:t>
      </w:r>
      <w:r w:rsidRPr="00A85858">
        <w:rPr>
          <w:rFonts w:ascii="Arial" w:hAnsi="Arial" w:cs="Arial"/>
        </w:rPr>
        <w:t xml:space="preserve">en percent of the total mental health block grant funding </w:t>
      </w:r>
      <w:r>
        <w:rPr>
          <w:rFonts w:ascii="Arial" w:hAnsi="Arial" w:cs="Arial"/>
        </w:rPr>
        <w:t xml:space="preserve">must be set aside </w:t>
      </w:r>
      <w:r w:rsidRPr="00A85858">
        <w:rPr>
          <w:rFonts w:ascii="Arial" w:hAnsi="Arial" w:cs="Arial"/>
        </w:rPr>
        <w:t xml:space="preserve">for early interventions for early serious mental illness/first episode psychosis, and </w:t>
      </w:r>
      <w:r>
        <w:rPr>
          <w:rFonts w:ascii="Arial" w:hAnsi="Arial" w:cs="Arial"/>
        </w:rPr>
        <w:t>5</w:t>
      </w:r>
      <w:r w:rsidRPr="00A85858">
        <w:rPr>
          <w:rFonts w:ascii="Arial" w:hAnsi="Arial" w:cs="Arial"/>
        </w:rPr>
        <w:t xml:space="preserve"> percent of the total mental health block grant funding </w:t>
      </w:r>
      <w:r>
        <w:rPr>
          <w:rFonts w:ascii="Arial" w:hAnsi="Arial" w:cs="Arial"/>
        </w:rPr>
        <w:t xml:space="preserve">must be set aside </w:t>
      </w:r>
      <w:r w:rsidRPr="00A85858">
        <w:rPr>
          <w:rFonts w:ascii="Arial" w:hAnsi="Arial" w:cs="Arial"/>
        </w:rPr>
        <w:t xml:space="preserve">for crisis services. In addition, </w:t>
      </w:r>
      <w:r>
        <w:rPr>
          <w:rFonts w:ascii="Arial" w:hAnsi="Arial" w:cs="Arial"/>
        </w:rPr>
        <w:t xml:space="preserve">20 </w:t>
      </w:r>
      <w:r w:rsidRPr="00A85858">
        <w:rPr>
          <w:rFonts w:ascii="Arial" w:hAnsi="Arial" w:cs="Arial"/>
        </w:rPr>
        <w:t xml:space="preserve">percent of substance </w:t>
      </w:r>
      <w:r>
        <w:rPr>
          <w:rFonts w:ascii="Arial" w:hAnsi="Arial" w:cs="Arial"/>
        </w:rPr>
        <w:t>use disorder</w:t>
      </w:r>
      <w:r w:rsidRPr="00A85858">
        <w:rPr>
          <w:rFonts w:ascii="Arial" w:hAnsi="Arial" w:cs="Arial"/>
        </w:rPr>
        <w:t xml:space="preserve"> funding must be set aside for prevention activities and </w:t>
      </w:r>
      <w:r>
        <w:rPr>
          <w:rFonts w:ascii="Arial" w:hAnsi="Arial" w:cs="Arial"/>
        </w:rPr>
        <w:t xml:space="preserve">a portion (set by SAMHSA in 1994) of the state’s substance use disorder funding must be set aside </w:t>
      </w:r>
      <w:r w:rsidRPr="00A85858">
        <w:rPr>
          <w:rFonts w:ascii="Arial" w:hAnsi="Arial" w:cs="Arial"/>
        </w:rPr>
        <w:t xml:space="preserve">for treatment services for </w:t>
      </w:r>
      <w:r>
        <w:rPr>
          <w:rFonts w:ascii="Arial" w:hAnsi="Arial" w:cs="Arial"/>
        </w:rPr>
        <w:t>gender specific</w:t>
      </w:r>
      <w:r w:rsidRPr="00A85858">
        <w:rPr>
          <w:rFonts w:ascii="Arial" w:hAnsi="Arial" w:cs="Arial"/>
        </w:rPr>
        <w:t xml:space="preserve"> services (primarily for pregnant/postpartum women and </w:t>
      </w:r>
      <w:r>
        <w:rPr>
          <w:rFonts w:ascii="Arial" w:hAnsi="Arial" w:cs="Arial"/>
        </w:rPr>
        <w:t>women</w:t>
      </w:r>
      <w:r w:rsidRPr="00A85858">
        <w:rPr>
          <w:rFonts w:ascii="Arial" w:hAnsi="Arial" w:cs="Arial"/>
        </w:rPr>
        <w:t xml:space="preserve"> with dependent children). Kentucky generally exceeds the minimum requirements. </w:t>
      </w:r>
    </w:p>
    <w:p w14:paraId="7FB3E5B5" w14:textId="77777777" w:rsidR="00286BC4" w:rsidRPr="00182DA3" w:rsidRDefault="00286BC4" w:rsidP="00286BC4">
      <w:pPr>
        <w:jc w:val="both"/>
        <w:rPr>
          <w:rFonts w:ascii="Arial" w:hAnsi="Arial" w:cs="Arial"/>
        </w:rPr>
      </w:pPr>
      <w:r w:rsidRPr="00182DA3">
        <w:rPr>
          <w:rFonts w:ascii="Arial" w:hAnsi="Arial" w:cs="Arial"/>
        </w:rPr>
        <w:t xml:space="preserve">The plans required by the block grant must address all activities and funding that build systems of care for individuals with behavioral health care needs, not just those supported by </w:t>
      </w:r>
      <w:r>
        <w:rPr>
          <w:rFonts w:ascii="Arial" w:hAnsi="Arial" w:cs="Arial"/>
        </w:rPr>
        <w:t>b</w:t>
      </w:r>
      <w:r w:rsidRPr="00182DA3">
        <w:rPr>
          <w:rFonts w:ascii="Arial" w:hAnsi="Arial" w:cs="Arial"/>
        </w:rPr>
        <w:t xml:space="preserve">lock </w:t>
      </w:r>
      <w:r>
        <w:rPr>
          <w:rFonts w:ascii="Arial" w:hAnsi="Arial" w:cs="Arial"/>
        </w:rPr>
        <w:t>g</w:t>
      </w:r>
      <w:r w:rsidRPr="00182DA3">
        <w:rPr>
          <w:rFonts w:ascii="Arial" w:hAnsi="Arial" w:cs="Arial"/>
        </w:rPr>
        <w:t>rant funds. Therefore, this application for federal funds helps drive the development of stronger services and supports utilizing all funding sources, including Medicaid, other federal grants, locally obtained funds, and State General Fund appropriations for mental health and substance use</w:t>
      </w:r>
      <w:r>
        <w:rPr>
          <w:rFonts w:ascii="Arial" w:hAnsi="Arial" w:cs="Arial"/>
        </w:rPr>
        <w:t xml:space="preserve"> disorder</w:t>
      </w:r>
      <w:r w:rsidRPr="00182DA3">
        <w:rPr>
          <w:rFonts w:ascii="Arial" w:hAnsi="Arial" w:cs="Arial"/>
        </w:rPr>
        <w:t xml:space="preserve"> prevention and treatment, from the Kentucky General Assembly.</w:t>
      </w:r>
    </w:p>
    <w:p w14:paraId="338059A6" w14:textId="77777777" w:rsidR="00286BC4" w:rsidRPr="00182DA3" w:rsidRDefault="00286BC4" w:rsidP="00286BC4">
      <w:pPr>
        <w:jc w:val="both"/>
        <w:rPr>
          <w:rFonts w:ascii="Arial" w:hAnsi="Arial" w:cs="Arial"/>
        </w:rPr>
      </w:pPr>
      <w:r w:rsidRPr="00182DA3">
        <w:rPr>
          <w:rFonts w:ascii="Arial" w:hAnsi="Arial" w:cs="Arial"/>
        </w:rPr>
        <w:t>The planning process required by the federal agency also provides an opportunity to present the plan for formal review by a panel of stakeholders, the Kentucky Behavioral Health Planning &amp; Advisory Council. Parents</w:t>
      </w:r>
      <w:r>
        <w:rPr>
          <w:rFonts w:ascii="Arial" w:hAnsi="Arial" w:cs="Arial"/>
        </w:rPr>
        <w:t>, family members, and adults and young adults</w:t>
      </w:r>
      <w:r w:rsidRPr="00182DA3">
        <w:rPr>
          <w:rFonts w:ascii="Arial" w:hAnsi="Arial" w:cs="Arial"/>
        </w:rPr>
        <w:t xml:space="preserve"> </w:t>
      </w:r>
      <w:r>
        <w:rPr>
          <w:rFonts w:ascii="Arial" w:hAnsi="Arial" w:cs="Arial"/>
        </w:rPr>
        <w:t>with relevant lived experience</w:t>
      </w:r>
      <w:r w:rsidRPr="00182DA3">
        <w:rPr>
          <w:rFonts w:ascii="Arial" w:hAnsi="Arial" w:cs="Arial"/>
        </w:rPr>
        <w:t xml:space="preserve"> are well represented on the Council, and we believe that the state’s plan is stronger because of their involvement,</w:t>
      </w:r>
      <w:r>
        <w:rPr>
          <w:rFonts w:ascii="Arial" w:hAnsi="Arial" w:cs="Arial"/>
        </w:rPr>
        <w:t xml:space="preserve"> insight, and feedback.</w:t>
      </w:r>
      <w:r w:rsidRPr="00182DA3">
        <w:rPr>
          <w:rFonts w:ascii="Arial" w:hAnsi="Arial" w:cs="Arial"/>
        </w:rPr>
        <w:t xml:space="preserve">  In addition to the Council meetings, a drafted application will be posted on the DBHDID website and </w:t>
      </w:r>
      <w:r>
        <w:rPr>
          <w:rFonts w:ascii="Arial" w:hAnsi="Arial" w:cs="Arial"/>
        </w:rPr>
        <w:t>comments will be received through Wednesday</w:t>
      </w:r>
      <w:r w:rsidRPr="00182DA3">
        <w:rPr>
          <w:rFonts w:ascii="Arial" w:hAnsi="Arial" w:cs="Arial"/>
        </w:rPr>
        <w:t xml:space="preserve"> August </w:t>
      </w:r>
      <w:r>
        <w:rPr>
          <w:rFonts w:ascii="Arial" w:hAnsi="Arial" w:cs="Arial"/>
        </w:rPr>
        <w:t>30, 2023</w:t>
      </w:r>
      <w:r w:rsidRPr="00182DA3">
        <w:rPr>
          <w:rFonts w:ascii="Arial" w:hAnsi="Arial" w:cs="Arial"/>
        </w:rPr>
        <w:t xml:space="preserve">. </w:t>
      </w:r>
    </w:p>
    <w:p w14:paraId="5DFC09BF" w14:textId="77777777" w:rsidR="00286BC4" w:rsidRPr="00182DA3" w:rsidRDefault="00286BC4" w:rsidP="00286BC4">
      <w:pPr>
        <w:jc w:val="both"/>
        <w:rPr>
          <w:rFonts w:ascii="Arial" w:hAnsi="Arial" w:cs="Arial"/>
        </w:rPr>
      </w:pPr>
      <w:r w:rsidRPr="00182DA3">
        <w:rPr>
          <w:rFonts w:ascii="Arial" w:hAnsi="Arial" w:cs="Arial"/>
        </w:rPr>
        <w:t xml:space="preserve">The application is comprised of four sections, including: </w:t>
      </w:r>
    </w:p>
    <w:p w14:paraId="290ED96D" w14:textId="77777777" w:rsidR="00286BC4" w:rsidRPr="00182DA3" w:rsidRDefault="00286BC4" w:rsidP="00286BC4">
      <w:pPr>
        <w:spacing w:after="0"/>
        <w:ind w:left="720"/>
        <w:jc w:val="both"/>
        <w:rPr>
          <w:rFonts w:ascii="Arial" w:hAnsi="Arial" w:cs="Arial"/>
        </w:rPr>
      </w:pPr>
      <w:r w:rsidRPr="00182DA3">
        <w:rPr>
          <w:rFonts w:ascii="Arial" w:hAnsi="Arial" w:cs="Arial"/>
        </w:rPr>
        <w:t>(I) State Information</w:t>
      </w:r>
      <w:r>
        <w:rPr>
          <w:rFonts w:ascii="Arial" w:hAnsi="Arial" w:cs="Arial"/>
        </w:rPr>
        <w:t>, Certification and Assurances;</w:t>
      </w:r>
    </w:p>
    <w:p w14:paraId="39B7F9CC" w14:textId="77777777" w:rsidR="00286BC4" w:rsidRPr="00182DA3" w:rsidRDefault="00286BC4" w:rsidP="00286BC4">
      <w:pPr>
        <w:spacing w:after="0"/>
        <w:ind w:left="720"/>
        <w:jc w:val="both"/>
        <w:rPr>
          <w:rFonts w:ascii="Arial" w:hAnsi="Arial" w:cs="Arial"/>
        </w:rPr>
      </w:pPr>
      <w:r w:rsidRPr="00182DA3">
        <w:rPr>
          <w:rFonts w:ascii="Arial" w:hAnsi="Arial" w:cs="Arial"/>
        </w:rPr>
        <w:t>(II) Plann</w:t>
      </w:r>
      <w:r>
        <w:rPr>
          <w:rFonts w:ascii="Arial" w:hAnsi="Arial" w:cs="Arial"/>
        </w:rPr>
        <w:t>ing Steps 1 and 2</w:t>
      </w:r>
      <w:r w:rsidRPr="00182DA3">
        <w:rPr>
          <w:rFonts w:ascii="Arial" w:hAnsi="Arial" w:cs="Arial"/>
        </w:rPr>
        <w:t>;</w:t>
      </w:r>
    </w:p>
    <w:p w14:paraId="61F6E0B9" w14:textId="77777777" w:rsidR="00286BC4" w:rsidRPr="00182DA3" w:rsidRDefault="00286BC4" w:rsidP="00286BC4">
      <w:pPr>
        <w:spacing w:after="0" w:line="240" w:lineRule="auto"/>
        <w:ind w:left="720"/>
        <w:jc w:val="both"/>
        <w:rPr>
          <w:rFonts w:ascii="Arial" w:hAnsi="Arial" w:cs="Arial"/>
        </w:rPr>
      </w:pPr>
      <w:r w:rsidRPr="00182DA3">
        <w:rPr>
          <w:rFonts w:ascii="Arial" w:hAnsi="Arial" w:cs="Arial"/>
        </w:rPr>
        <w:t xml:space="preserve">(III) </w:t>
      </w:r>
      <w:r>
        <w:rPr>
          <w:rFonts w:ascii="Arial" w:hAnsi="Arial" w:cs="Arial"/>
        </w:rPr>
        <w:t>Nine</w:t>
      </w:r>
      <w:r w:rsidRPr="00182DA3">
        <w:rPr>
          <w:rFonts w:ascii="Arial" w:hAnsi="Arial" w:cs="Arial"/>
        </w:rPr>
        <w:t xml:space="preserve"> Planning Tables; and </w:t>
      </w:r>
    </w:p>
    <w:p w14:paraId="5717FC56" w14:textId="77777777" w:rsidR="00286BC4" w:rsidRPr="00182DA3" w:rsidRDefault="00286BC4" w:rsidP="00286BC4">
      <w:pPr>
        <w:spacing w:after="0" w:line="240" w:lineRule="auto"/>
        <w:ind w:left="720"/>
        <w:jc w:val="both"/>
        <w:rPr>
          <w:rFonts w:ascii="Arial" w:hAnsi="Arial" w:cs="Arial"/>
        </w:rPr>
      </w:pPr>
      <w:r w:rsidRPr="00182DA3">
        <w:rPr>
          <w:rFonts w:ascii="Arial" w:hAnsi="Arial" w:cs="Arial"/>
        </w:rPr>
        <w:t>(IV)</w:t>
      </w:r>
      <w:r>
        <w:rPr>
          <w:rFonts w:ascii="Arial" w:hAnsi="Arial" w:cs="Arial"/>
        </w:rPr>
        <w:t xml:space="preserve"> </w:t>
      </w:r>
      <w:r w:rsidRPr="00182DA3">
        <w:rPr>
          <w:rFonts w:ascii="Arial" w:hAnsi="Arial" w:cs="Arial"/>
        </w:rPr>
        <w:t>Twenty-t</w:t>
      </w:r>
      <w:r>
        <w:rPr>
          <w:rFonts w:ascii="Arial" w:hAnsi="Arial" w:cs="Arial"/>
        </w:rPr>
        <w:t>wo</w:t>
      </w:r>
      <w:r w:rsidRPr="00182DA3">
        <w:rPr>
          <w:rFonts w:ascii="Arial" w:hAnsi="Arial" w:cs="Arial"/>
        </w:rPr>
        <w:t xml:space="preserve"> Environmental Factors</w:t>
      </w:r>
      <w:r>
        <w:rPr>
          <w:rFonts w:ascii="Arial" w:hAnsi="Arial" w:cs="Arial"/>
        </w:rPr>
        <w:t xml:space="preserve"> and Plan</w:t>
      </w:r>
      <w:r w:rsidRPr="00182DA3">
        <w:rPr>
          <w:rFonts w:ascii="Arial" w:hAnsi="Arial" w:cs="Arial"/>
        </w:rPr>
        <w:t xml:space="preserve"> (Narrative responses to questions). </w:t>
      </w:r>
    </w:p>
    <w:p w14:paraId="4E3854FF" w14:textId="77777777" w:rsidR="00286BC4" w:rsidRPr="00182DA3" w:rsidRDefault="00286BC4" w:rsidP="00286BC4">
      <w:pPr>
        <w:spacing w:after="0" w:line="240" w:lineRule="auto"/>
        <w:jc w:val="both"/>
        <w:rPr>
          <w:rFonts w:ascii="Arial" w:hAnsi="Arial" w:cs="Arial"/>
        </w:rPr>
      </w:pPr>
    </w:p>
    <w:p w14:paraId="622187BC" w14:textId="77777777" w:rsidR="00286BC4" w:rsidRDefault="00286BC4" w:rsidP="00286BC4">
      <w:pPr>
        <w:spacing w:after="0" w:line="240" w:lineRule="auto"/>
        <w:jc w:val="both"/>
        <w:rPr>
          <w:rFonts w:ascii="Arial" w:hAnsi="Arial" w:cs="Arial"/>
        </w:rPr>
      </w:pPr>
      <w:r w:rsidRPr="00182DA3">
        <w:rPr>
          <w:rFonts w:ascii="Arial" w:hAnsi="Arial" w:cs="Arial"/>
        </w:rPr>
        <w:lastRenderedPageBreak/>
        <w:t xml:space="preserve">Within the plan, states are required to address </w:t>
      </w:r>
      <w:r>
        <w:rPr>
          <w:rFonts w:ascii="Arial" w:hAnsi="Arial" w:cs="Arial"/>
        </w:rPr>
        <w:t>five (5)</w:t>
      </w:r>
      <w:r w:rsidRPr="00182DA3">
        <w:rPr>
          <w:rFonts w:ascii="Arial" w:hAnsi="Arial" w:cs="Arial"/>
        </w:rPr>
        <w:t xml:space="preserve"> federally mandated </w:t>
      </w:r>
      <w:r>
        <w:rPr>
          <w:rFonts w:ascii="Arial" w:hAnsi="Arial" w:cs="Arial"/>
        </w:rPr>
        <w:t>“c</w:t>
      </w:r>
      <w:r w:rsidRPr="00182DA3">
        <w:rPr>
          <w:rFonts w:ascii="Arial" w:hAnsi="Arial" w:cs="Arial"/>
        </w:rPr>
        <w:t>riterion</w:t>
      </w:r>
      <w:r>
        <w:rPr>
          <w:rFonts w:ascii="Arial" w:hAnsi="Arial" w:cs="Arial"/>
        </w:rPr>
        <w:t>”</w:t>
      </w:r>
      <w:r w:rsidRPr="00182DA3">
        <w:rPr>
          <w:rFonts w:ascii="Arial" w:hAnsi="Arial" w:cs="Arial"/>
        </w:rPr>
        <w:t xml:space="preserve"> for </w:t>
      </w:r>
      <w:r>
        <w:rPr>
          <w:rFonts w:ascii="Arial" w:hAnsi="Arial" w:cs="Arial"/>
        </w:rPr>
        <w:t>a</w:t>
      </w:r>
      <w:r w:rsidRPr="00182DA3">
        <w:rPr>
          <w:rFonts w:ascii="Arial" w:hAnsi="Arial" w:cs="Arial"/>
        </w:rPr>
        <w:t xml:space="preserve">dults with </w:t>
      </w:r>
      <w:r>
        <w:rPr>
          <w:rFonts w:ascii="Arial" w:hAnsi="Arial" w:cs="Arial"/>
        </w:rPr>
        <w:t>s</w:t>
      </w:r>
      <w:r w:rsidRPr="00182DA3">
        <w:rPr>
          <w:rFonts w:ascii="Arial" w:hAnsi="Arial" w:cs="Arial"/>
        </w:rPr>
        <w:t xml:space="preserve">erious </w:t>
      </w:r>
      <w:r>
        <w:rPr>
          <w:rFonts w:ascii="Arial" w:hAnsi="Arial" w:cs="Arial"/>
        </w:rPr>
        <w:t>m</w:t>
      </w:r>
      <w:r w:rsidRPr="00182DA3">
        <w:rPr>
          <w:rFonts w:ascii="Arial" w:hAnsi="Arial" w:cs="Arial"/>
        </w:rPr>
        <w:t xml:space="preserve">ental </w:t>
      </w:r>
      <w:r>
        <w:rPr>
          <w:rFonts w:ascii="Arial" w:hAnsi="Arial" w:cs="Arial"/>
        </w:rPr>
        <w:t>i</w:t>
      </w:r>
      <w:r w:rsidRPr="00182DA3">
        <w:rPr>
          <w:rFonts w:ascii="Arial" w:hAnsi="Arial" w:cs="Arial"/>
        </w:rPr>
        <w:t xml:space="preserve">llness (SMI) and </w:t>
      </w:r>
      <w:r>
        <w:rPr>
          <w:rFonts w:ascii="Arial" w:hAnsi="Arial" w:cs="Arial"/>
        </w:rPr>
        <w:t>c</w:t>
      </w:r>
      <w:r w:rsidRPr="00182DA3">
        <w:rPr>
          <w:rFonts w:ascii="Arial" w:hAnsi="Arial" w:cs="Arial"/>
        </w:rPr>
        <w:t xml:space="preserve">hildren with </w:t>
      </w:r>
      <w:r>
        <w:rPr>
          <w:rFonts w:ascii="Arial" w:hAnsi="Arial" w:cs="Arial"/>
        </w:rPr>
        <w:t>s</w:t>
      </w:r>
      <w:r w:rsidRPr="00182DA3">
        <w:rPr>
          <w:rFonts w:ascii="Arial" w:hAnsi="Arial" w:cs="Arial"/>
        </w:rPr>
        <w:t>e</w:t>
      </w:r>
      <w:r>
        <w:rPr>
          <w:rFonts w:ascii="Arial" w:hAnsi="Arial" w:cs="Arial"/>
        </w:rPr>
        <w:t>rious</w:t>
      </w:r>
      <w:r w:rsidRPr="00182DA3">
        <w:rPr>
          <w:rFonts w:ascii="Arial" w:hAnsi="Arial" w:cs="Arial"/>
        </w:rPr>
        <w:t xml:space="preserve"> </w:t>
      </w:r>
      <w:r>
        <w:rPr>
          <w:rFonts w:ascii="Arial" w:hAnsi="Arial" w:cs="Arial"/>
        </w:rPr>
        <w:t>e</w:t>
      </w:r>
      <w:r w:rsidRPr="00182DA3">
        <w:rPr>
          <w:rFonts w:ascii="Arial" w:hAnsi="Arial" w:cs="Arial"/>
        </w:rPr>
        <w:t xml:space="preserve">motional </w:t>
      </w:r>
      <w:r>
        <w:rPr>
          <w:rFonts w:ascii="Arial" w:hAnsi="Arial" w:cs="Arial"/>
        </w:rPr>
        <w:t>d</w:t>
      </w:r>
      <w:r w:rsidRPr="00182DA3">
        <w:rPr>
          <w:rFonts w:ascii="Arial" w:hAnsi="Arial" w:cs="Arial"/>
        </w:rPr>
        <w:t>i</w:t>
      </w:r>
      <w:r>
        <w:rPr>
          <w:rFonts w:ascii="Arial" w:hAnsi="Arial" w:cs="Arial"/>
        </w:rPr>
        <w:t>sturbance</w:t>
      </w:r>
      <w:r w:rsidRPr="00182DA3">
        <w:rPr>
          <w:rFonts w:ascii="Arial" w:hAnsi="Arial" w:cs="Arial"/>
        </w:rPr>
        <w:t>s (SED)</w:t>
      </w:r>
      <w:r>
        <w:rPr>
          <w:rFonts w:ascii="Arial" w:hAnsi="Arial" w:cs="Arial"/>
        </w:rPr>
        <w:t>, eleven (11) “c</w:t>
      </w:r>
      <w:r w:rsidRPr="00182DA3">
        <w:rPr>
          <w:rFonts w:ascii="Arial" w:hAnsi="Arial" w:cs="Arial"/>
        </w:rPr>
        <w:t>riterion</w:t>
      </w:r>
      <w:r>
        <w:rPr>
          <w:rFonts w:ascii="Arial" w:hAnsi="Arial" w:cs="Arial"/>
        </w:rPr>
        <w:t>”</w:t>
      </w:r>
      <w:r w:rsidRPr="00182DA3">
        <w:rPr>
          <w:rFonts w:ascii="Arial" w:hAnsi="Arial" w:cs="Arial"/>
        </w:rPr>
        <w:t xml:space="preserve"> for substance use disorders</w:t>
      </w:r>
      <w:r>
        <w:rPr>
          <w:rFonts w:ascii="Arial" w:hAnsi="Arial" w:cs="Arial"/>
        </w:rPr>
        <w:t xml:space="preserve"> (SUD), and SUD prevention planning is required to utilize six (6) specifically designated prevention strategies. </w:t>
      </w:r>
      <w:r w:rsidRPr="00182DA3">
        <w:rPr>
          <w:rFonts w:ascii="Arial" w:hAnsi="Arial" w:cs="Arial"/>
        </w:rPr>
        <w:t xml:space="preserve">States are required to develop </w:t>
      </w:r>
      <w:r w:rsidRPr="00182DA3">
        <w:rPr>
          <w:rFonts w:ascii="Arial" w:hAnsi="Arial" w:cs="Arial"/>
          <w:i/>
        </w:rPr>
        <w:t>Performance Indicators</w:t>
      </w:r>
      <w:r w:rsidRPr="00182DA3">
        <w:rPr>
          <w:rFonts w:ascii="Arial" w:hAnsi="Arial" w:cs="Arial"/>
        </w:rPr>
        <w:t xml:space="preserve"> with </w:t>
      </w:r>
      <w:r w:rsidRPr="00182DA3">
        <w:rPr>
          <w:rFonts w:ascii="Arial" w:hAnsi="Arial" w:cs="Arial"/>
          <w:i/>
        </w:rPr>
        <w:t>Goals</w:t>
      </w:r>
      <w:r w:rsidRPr="00182DA3">
        <w:rPr>
          <w:rFonts w:ascii="Arial" w:hAnsi="Arial" w:cs="Arial"/>
        </w:rPr>
        <w:t xml:space="preserve"> and </w:t>
      </w:r>
      <w:r w:rsidRPr="00182DA3">
        <w:rPr>
          <w:rFonts w:ascii="Arial" w:hAnsi="Arial" w:cs="Arial"/>
          <w:i/>
        </w:rPr>
        <w:t>Strategies</w:t>
      </w:r>
      <w:r w:rsidRPr="00182DA3">
        <w:rPr>
          <w:rFonts w:ascii="Arial" w:hAnsi="Arial" w:cs="Arial"/>
        </w:rPr>
        <w:t xml:space="preserve"> to address a number of federally prescribed priority areas/populations. States are</w:t>
      </w:r>
      <w:r>
        <w:rPr>
          <w:rFonts w:ascii="Arial" w:hAnsi="Arial" w:cs="Arial"/>
        </w:rPr>
        <w:t xml:space="preserve"> also</w:t>
      </w:r>
      <w:r w:rsidRPr="00182DA3">
        <w:rPr>
          <w:rFonts w:ascii="Arial" w:hAnsi="Arial" w:cs="Arial"/>
        </w:rPr>
        <w:t xml:space="preserve"> required to provide detailed financial tables</w:t>
      </w:r>
      <w:r>
        <w:rPr>
          <w:rFonts w:ascii="Arial" w:hAnsi="Arial" w:cs="Arial"/>
        </w:rPr>
        <w:t xml:space="preserve"> including planned expenditures</w:t>
      </w:r>
      <w:r w:rsidRPr="00182DA3">
        <w:rPr>
          <w:rFonts w:ascii="Arial" w:hAnsi="Arial" w:cs="Arial"/>
        </w:rPr>
        <w:t xml:space="preserve"> for mental health, substance use primary prevention, and substance use treatment</w:t>
      </w:r>
      <w:r>
        <w:rPr>
          <w:rFonts w:ascii="Arial" w:hAnsi="Arial" w:cs="Arial"/>
        </w:rPr>
        <w:t xml:space="preserve">, including planned expenditures for recovery support services. </w:t>
      </w:r>
    </w:p>
    <w:p w14:paraId="3B6133FA" w14:textId="77777777" w:rsidR="00286BC4" w:rsidRPr="00182DA3" w:rsidRDefault="00286BC4" w:rsidP="00286BC4">
      <w:pPr>
        <w:spacing w:after="0" w:line="240" w:lineRule="auto"/>
        <w:jc w:val="both"/>
        <w:rPr>
          <w:rFonts w:ascii="Arial" w:hAnsi="Arial" w:cs="Arial"/>
        </w:rPr>
      </w:pPr>
    </w:p>
    <w:p w14:paraId="1B13E141" w14:textId="77777777" w:rsidR="00286BC4" w:rsidRPr="00182DA3" w:rsidRDefault="00286BC4" w:rsidP="00286BC4">
      <w:pPr>
        <w:rPr>
          <w:rFonts w:ascii="Arial" w:hAnsi="Arial" w:cs="Arial"/>
        </w:rPr>
      </w:pPr>
      <w:r w:rsidRPr="00182DA3">
        <w:rPr>
          <w:rFonts w:ascii="Arial" w:hAnsi="Arial" w:cs="Arial"/>
        </w:rPr>
        <w:t xml:space="preserve">As a result of the required planning process for this funding application, the table below represents </w:t>
      </w:r>
      <w:r w:rsidRPr="00182DA3">
        <w:rPr>
          <w:rFonts w:ascii="Arial" w:hAnsi="Arial" w:cs="Arial"/>
          <w:i/>
        </w:rPr>
        <w:t xml:space="preserve">Performance Indicators </w:t>
      </w:r>
      <w:r w:rsidRPr="00182DA3">
        <w:rPr>
          <w:rFonts w:ascii="Arial" w:hAnsi="Arial" w:cs="Arial"/>
        </w:rPr>
        <w:t xml:space="preserve">chosen for Kentucky for each of the prescribed priority areas/populations, including: </w:t>
      </w:r>
    </w:p>
    <w:p w14:paraId="64B52F83" w14:textId="77777777" w:rsidR="00286BC4" w:rsidRPr="00182DA3" w:rsidRDefault="00286BC4" w:rsidP="00286BC4">
      <w:pPr>
        <w:pStyle w:val="ListParagraph"/>
        <w:numPr>
          <w:ilvl w:val="0"/>
          <w:numId w:val="1"/>
        </w:numPr>
        <w:rPr>
          <w:rFonts w:ascii="Arial" w:hAnsi="Arial" w:cs="Arial"/>
        </w:rPr>
      </w:pPr>
      <w:r w:rsidRPr="00182DA3">
        <w:rPr>
          <w:rFonts w:ascii="Arial" w:hAnsi="Arial" w:cs="Arial"/>
        </w:rPr>
        <w:t>Adults with Serious Mental Illness (SMI)</w:t>
      </w:r>
    </w:p>
    <w:p w14:paraId="15EC9793" w14:textId="77777777" w:rsidR="00286BC4" w:rsidRDefault="00286BC4" w:rsidP="00286BC4">
      <w:pPr>
        <w:pStyle w:val="ListParagraph"/>
        <w:numPr>
          <w:ilvl w:val="0"/>
          <w:numId w:val="1"/>
        </w:numPr>
        <w:rPr>
          <w:rFonts w:ascii="Arial" w:hAnsi="Arial" w:cs="Arial"/>
        </w:rPr>
      </w:pPr>
      <w:r>
        <w:rPr>
          <w:rFonts w:ascii="Arial" w:hAnsi="Arial" w:cs="Arial"/>
        </w:rPr>
        <w:t>Children/Youth with Serious Emotional Disturbance (SED)</w:t>
      </w:r>
    </w:p>
    <w:p w14:paraId="307F93DB" w14:textId="77777777" w:rsidR="00286BC4" w:rsidRPr="00877637" w:rsidRDefault="00286BC4" w:rsidP="00286BC4">
      <w:pPr>
        <w:pStyle w:val="ListParagraph"/>
        <w:numPr>
          <w:ilvl w:val="0"/>
          <w:numId w:val="1"/>
        </w:numPr>
        <w:rPr>
          <w:rFonts w:ascii="Arial" w:hAnsi="Arial" w:cs="Arial"/>
        </w:rPr>
      </w:pPr>
      <w:r w:rsidRPr="00182DA3">
        <w:rPr>
          <w:rFonts w:ascii="Arial" w:hAnsi="Arial" w:cs="Arial"/>
        </w:rPr>
        <w:t>Early Serious Mental Illness (ESMI)</w:t>
      </w:r>
      <w:r>
        <w:rPr>
          <w:rFonts w:ascii="Arial" w:hAnsi="Arial" w:cs="Arial"/>
        </w:rPr>
        <w:t>/First Episode Psychosis (FEP)</w:t>
      </w:r>
    </w:p>
    <w:p w14:paraId="29580DE7" w14:textId="77777777" w:rsidR="00286BC4" w:rsidRDefault="00286BC4" w:rsidP="00286BC4">
      <w:pPr>
        <w:pStyle w:val="ListParagraph"/>
        <w:numPr>
          <w:ilvl w:val="0"/>
          <w:numId w:val="1"/>
        </w:numPr>
        <w:rPr>
          <w:rFonts w:ascii="Arial" w:hAnsi="Arial" w:cs="Arial"/>
        </w:rPr>
      </w:pPr>
      <w:r>
        <w:rPr>
          <w:rFonts w:ascii="Arial" w:hAnsi="Arial" w:cs="Arial"/>
        </w:rPr>
        <w:t>Individuals in need of behavioral health crisis services (BHCS)</w:t>
      </w:r>
    </w:p>
    <w:p w14:paraId="321A2C7D" w14:textId="77777777" w:rsidR="00286BC4" w:rsidRDefault="00286BC4" w:rsidP="00286BC4">
      <w:pPr>
        <w:pStyle w:val="ListParagraph"/>
        <w:numPr>
          <w:ilvl w:val="0"/>
          <w:numId w:val="1"/>
        </w:numPr>
        <w:rPr>
          <w:rFonts w:ascii="Arial" w:hAnsi="Arial" w:cs="Arial"/>
        </w:rPr>
      </w:pPr>
      <w:r>
        <w:rPr>
          <w:rFonts w:ascii="Arial" w:hAnsi="Arial" w:cs="Arial"/>
        </w:rPr>
        <w:t>Persons who have substance use disorders and are:</w:t>
      </w:r>
    </w:p>
    <w:p w14:paraId="31297B85" w14:textId="77777777" w:rsidR="00286BC4" w:rsidRDefault="00286BC4" w:rsidP="00286BC4">
      <w:pPr>
        <w:pStyle w:val="ListParagraph"/>
        <w:numPr>
          <w:ilvl w:val="1"/>
          <w:numId w:val="1"/>
        </w:numPr>
        <w:rPr>
          <w:rFonts w:ascii="Arial" w:hAnsi="Arial" w:cs="Arial"/>
        </w:rPr>
      </w:pPr>
      <w:r>
        <w:rPr>
          <w:rFonts w:ascii="Arial" w:hAnsi="Arial" w:cs="Arial"/>
        </w:rPr>
        <w:t>Pregnant women (PW)</w:t>
      </w:r>
    </w:p>
    <w:p w14:paraId="1F747B6E" w14:textId="77777777" w:rsidR="00286BC4" w:rsidRPr="00877637" w:rsidRDefault="00286BC4" w:rsidP="00286BC4">
      <w:pPr>
        <w:pStyle w:val="ListParagraph"/>
        <w:numPr>
          <w:ilvl w:val="1"/>
          <w:numId w:val="1"/>
        </w:numPr>
        <w:rPr>
          <w:rFonts w:ascii="Arial" w:hAnsi="Arial" w:cs="Arial"/>
        </w:rPr>
      </w:pPr>
      <w:r>
        <w:rPr>
          <w:rFonts w:ascii="Arial" w:hAnsi="Arial" w:cs="Arial"/>
        </w:rPr>
        <w:t>Women with dependent children (WDC)</w:t>
      </w:r>
    </w:p>
    <w:p w14:paraId="52AFE3D5" w14:textId="77777777" w:rsidR="00286BC4" w:rsidRPr="00182DA3" w:rsidRDefault="00286BC4" w:rsidP="00286BC4">
      <w:pPr>
        <w:pStyle w:val="ListParagraph"/>
        <w:numPr>
          <w:ilvl w:val="0"/>
          <w:numId w:val="1"/>
        </w:numPr>
        <w:rPr>
          <w:rFonts w:ascii="Arial" w:hAnsi="Arial" w:cs="Arial"/>
        </w:rPr>
      </w:pPr>
      <w:r w:rsidRPr="00182DA3">
        <w:rPr>
          <w:rFonts w:ascii="Arial" w:hAnsi="Arial" w:cs="Arial"/>
        </w:rPr>
        <w:t xml:space="preserve">Primary </w:t>
      </w:r>
      <w:r>
        <w:rPr>
          <w:rFonts w:ascii="Arial" w:hAnsi="Arial" w:cs="Arial"/>
        </w:rPr>
        <w:t>substance use disorder p</w:t>
      </w:r>
      <w:r w:rsidRPr="00182DA3">
        <w:rPr>
          <w:rFonts w:ascii="Arial" w:hAnsi="Arial" w:cs="Arial"/>
        </w:rPr>
        <w:t>revention</w:t>
      </w:r>
      <w:r>
        <w:rPr>
          <w:rFonts w:ascii="Arial" w:hAnsi="Arial" w:cs="Arial"/>
        </w:rPr>
        <w:t xml:space="preserve"> (PP)</w:t>
      </w:r>
    </w:p>
    <w:p w14:paraId="40C4370C" w14:textId="77777777" w:rsidR="00286BC4" w:rsidRDefault="00286BC4" w:rsidP="00286BC4">
      <w:pPr>
        <w:pStyle w:val="ListParagraph"/>
        <w:numPr>
          <w:ilvl w:val="0"/>
          <w:numId w:val="1"/>
        </w:numPr>
        <w:rPr>
          <w:rFonts w:ascii="Arial" w:hAnsi="Arial" w:cs="Arial"/>
        </w:rPr>
      </w:pPr>
      <w:r>
        <w:rPr>
          <w:rFonts w:ascii="Arial" w:hAnsi="Arial" w:cs="Arial"/>
        </w:rPr>
        <w:t>Persons who inject drugs (PWID)</w:t>
      </w:r>
    </w:p>
    <w:p w14:paraId="4280AAF0" w14:textId="77777777" w:rsidR="00286BC4" w:rsidRPr="002B2EBA" w:rsidRDefault="00286BC4" w:rsidP="00286BC4">
      <w:pPr>
        <w:pStyle w:val="ListParagraph"/>
        <w:numPr>
          <w:ilvl w:val="0"/>
          <w:numId w:val="1"/>
        </w:numPr>
        <w:rPr>
          <w:rFonts w:ascii="Arial" w:hAnsi="Arial" w:cs="Arial"/>
        </w:rPr>
      </w:pPr>
      <w:r w:rsidRPr="002B2EBA">
        <w:rPr>
          <w:rFonts w:ascii="Arial" w:hAnsi="Arial" w:cs="Arial"/>
        </w:rPr>
        <w:t>Persons with substance use disorders with or at risk of tuberculosis</w:t>
      </w:r>
      <w:r>
        <w:rPr>
          <w:rFonts w:ascii="Arial" w:hAnsi="Arial" w:cs="Arial"/>
        </w:rPr>
        <w:t xml:space="preserve"> (TB)</w:t>
      </w:r>
    </w:p>
    <w:tbl>
      <w:tblPr>
        <w:tblStyle w:val="TableGrid"/>
        <w:tblW w:w="0" w:type="auto"/>
        <w:tblLook w:val="04A0" w:firstRow="1" w:lastRow="0" w:firstColumn="1" w:lastColumn="0" w:noHBand="0" w:noVBand="1"/>
      </w:tblPr>
      <w:tblGrid>
        <w:gridCol w:w="1048"/>
        <w:gridCol w:w="8302"/>
      </w:tblGrid>
      <w:tr w:rsidR="00286BC4" w:rsidRPr="00182DA3" w14:paraId="47A48AB4" w14:textId="77777777" w:rsidTr="00EC649E">
        <w:tc>
          <w:tcPr>
            <w:tcW w:w="9350" w:type="dxa"/>
            <w:gridSpan w:val="2"/>
            <w:shd w:val="clear" w:color="auto" w:fill="F2F2F2" w:themeFill="background1" w:themeFillShade="F2"/>
          </w:tcPr>
          <w:p w14:paraId="5D2AA263" w14:textId="77777777" w:rsidR="00286BC4" w:rsidRPr="00182DA3" w:rsidRDefault="00286BC4" w:rsidP="00EC649E">
            <w:pPr>
              <w:jc w:val="center"/>
              <w:rPr>
                <w:rFonts w:ascii="Arial" w:hAnsi="Arial" w:cs="Arial"/>
                <w:b/>
              </w:rPr>
            </w:pPr>
            <w:r w:rsidRPr="00182DA3">
              <w:rPr>
                <w:rFonts w:ascii="Arial" w:hAnsi="Arial" w:cs="Arial"/>
              </w:rPr>
              <w:t xml:space="preserve"> </w:t>
            </w:r>
            <w:r w:rsidRPr="00182DA3">
              <w:rPr>
                <w:rFonts w:ascii="Arial" w:hAnsi="Arial" w:cs="Arial"/>
                <w:b/>
              </w:rPr>
              <w:t xml:space="preserve">STATE PERFORMANCE INDICATORS </w:t>
            </w:r>
          </w:p>
        </w:tc>
      </w:tr>
      <w:tr w:rsidR="00286BC4" w:rsidRPr="00182DA3" w14:paraId="2C6A9F0F" w14:textId="77777777" w:rsidTr="00EC649E">
        <w:tc>
          <w:tcPr>
            <w:tcW w:w="1048" w:type="dxa"/>
          </w:tcPr>
          <w:p w14:paraId="0E69F3F6" w14:textId="77777777" w:rsidR="00286BC4" w:rsidRPr="00182DA3" w:rsidRDefault="00286BC4" w:rsidP="00EC649E">
            <w:pPr>
              <w:jc w:val="center"/>
              <w:rPr>
                <w:rFonts w:ascii="Arial" w:hAnsi="Arial" w:cs="Arial"/>
              </w:rPr>
            </w:pPr>
            <w:r w:rsidRPr="00182DA3">
              <w:rPr>
                <w:rFonts w:ascii="Arial" w:hAnsi="Arial" w:cs="Arial"/>
              </w:rPr>
              <w:t>1</w:t>
            </w:r>
          </w:p>
        </w:tc>
        <w:tc>
          <w:tcPr>
            <w:tcW w:w="8302" w:type="dxa"/>
          </w:tcPr>
          <w:p w14:paraId="11C0CC4F" w14:textId="77777777" w:rsidR="00286BC4" w:rsidRPr="00182DA3" w:rsidRDefault="00286BC4" w:rsidP="00EC649E">
            <w:pPr>
              <w:rPr>
                <w:rFonts w:ascii="Arial" w:hAnsi="Arial" w:cs="Arial"/>
              </w:rPr>
            </w:pPr>
            <w:r w:rsidRPr="00E34097">
              <w:rPr>
                <w:rFonts w:ascii="Arial" w:hAnsi="Arial" w:cs="Arial"/>
              </w:rPr>
              <w:t>Avoid an increase in the rate of adults</w:t>
            </w:r>
            <w:r>
              <w:rPr>
                <w:rFonts w:ascii="Arial" w:hAnsi="Arial" w:cs="Arial"/>
              </w:rPr>
              <w:t xml:space="preserve"> with SMI</w:t>
            </w:r>
            <w:r w:rsidRPr="00E34097">
              <w:rPr>
                <w:rFonts w:ascii="Arial" w:hAnsi="Arial" w:cs="Arial"/>
              </w:rPr>
              <w:t>, who did not already reside in personal care homes, being discharged to personal care homes from state-operated psychiatric hospitals</w:t>
            </w:r>
            <w:r>
              <w:rPr>
                <w:rFonts w:ascii="Arial" w:hAnsi="Arial" w:cs="Arial"/>
              </w:rPr>
              <w:t>.</w:t>
            </w:r>
          </w:p>
        </w:tc>
      </w:tr>
      <w:tr w:rsidR="00286BC4" w:rsidRPr="00182DA3" w14:paraId="5FDADF37" w14:textId="77777777" w:rsidTr="00EC649E">
        <w:tc>
          <w:tcPr>
            <w:tcW w:w="1048" w:type="dxa"/>
          </w:tcPr>
          <w:p w14:paraId="1164CA4F" w14:textId="77777777" w:rsidR="00286BC4" w:rsidRPr="00182DA3" w:rsidRDefault="00286BC4" w:rsidP="00EC649E">
            <w:pPr>
              <w:jc w:val="center"/>
              <w:rPr>
                <w:rFonts w:ascii="Arial" w:hAnsi="Arial" w:cs="Arial"/>
              </w:rPr>
            </w:pPr>
            <w:r w:rsidRPr="00182DA3">
              <w:rPr>
                <w:rFonts w:ascii="Arial" w:hAnsi="Arial" w:cs="Arial"/>
              </w:rPr>
              <w:t>2</w:t>
            </w:r>
          </w:p>
        </w:tc>
        <w:tc>
          <w:tcPr>
            <w:tcW w:w="8302" w:type="dxa"/>
          </w:tcPr>
          <w:p w14:paraId="62B1F397" w14:textId="77777777" w:rsidR="00286BC4" w:rsidRPr="00182DA3" w:rsidRDefault="00286BC4" w:rsidP="00EC649E">
            <w:pPr>
              <w:rPr>
                <w:rFonts w:ascii="Arial" w:hAnsi="Arial" w:cs="Arial"/>
              </w:rPr>
            </w:pPr>
            <w:r w:rsidRPr="00182DA3">
              <w:rPr>
                <w:rFonts w:ascii="Arial" w:hAnsi="Arial" w:cs="Arial"/>
              </w:rPr>
              <w:t xml:space="preserve">Increase the </w:t>
            </w:r>
            <w:r>
              <w:rPr>
                <w:rFonts w:ascii="Arial" w:hAnsi="Arial" w:cs="Arial"/>
              </w:rPr>
              <w:t>total number of children/youth</w:t>
            </w:r>
            <w:r w:rsidRPr="00182DA3">
              <w:rPr>
                <w:rFonts w:ascii="Arial" w:hAnsi="Arial" w:cs="Arial"/>
              </w:rPr>
              <w:t xml:space="preserve"> with SED who </w:t>
            </w:r>
            <w:r w:rsidRPr="0074457E">
              <w:rPr>
                <w:rFonts w:ascii="Arial" w:hAnsi="Arial" w:cs="Arial"/>
              </w:rPr>
              <w:t xml:space="preserve">receive </w:t>
            </w:r>
            <w:r>
              <w:rPr>
                <w:rFonts w:ascii="Arial" w:hAnsi="Arial" w:cs="Arial"/>
              </w:rPr>
              <w:t>p</w:t>
            </w:r>
            <w:r w:rsidRPr="0074457E">
              <w:rPr>
                <w:rFonts w:ascii="Arial" w:hAnsi="Arial" w:cs="Arial"/>
              </w:rPr>
              <w:t xml:space="preserve">eer </w:t>
            </w:r>
            <w:r>
              <w:rPr>
                <w:rFonts w:ascii="Arial" w:hAnsi="Arial" w:cs="Arial"/>
              </w:rPr>
              <w:t>s</w:t>
            </w:r>
            <w:r w:rsidRPr="0074457E">
              <w:rPr>
                <w:rFonts w:ascii="Arial" w:hAnsi="Arial" w:cs="Arial"/>
              </w:rPr>
              <w:t xml:space="preserve">upport </w:t>
            </w:r>
            <w:r>
              <w:rPr>
                <w:rFonts w:ascii="Arial" w:hAnsi="Arial" w:cs="Arial"/>
              </w:rPr>
              <w:t>s</w:t>
            </w:r>
            <w:r w:rsidRPr="0074457E">
              <w:rPr>
                <w:rFonts w:ascii="Arial" w:hAnsi="Arial" w:cs="Arial"/>
              </w:rPr>
              <w:t>ervices</w:t>
            </w:r>
            <w:r>
              <w:rPr>
                <w:rFonts w:ascii="Arial" w:hAnsi="Arial" w:cs="Arial"/>
              </w:rPr>
              <w:t>.</w:t>
            </w:r>
          </w:p>
        </w:tc>
      </w:tr>
      <w:tr w:rsidR="00286BC4" w:rsidRPr="00182DA3" w14:paraId="2DEF83F8" w14:textId="77777777" w:rsidTr="00EC649E">
        <w:tc>
          <w:tcPr>
            <w:tcW w:w="1048" w:type="dxa"/>
          </w:tcPr>
          <w:p w14:paraId="6AB22861" w14:textId="77777777" w:rsidR="00286BC4" w:rsidRPr="00182DA3" w:rsidRDefault="00286BC4" w:rsidP="00EC649E">
            <w:pPr>
              <w:jc w:val="center"/>
              <w:rPr>
                <w:rFonts w:ascii="Arial" w:hAnsi="Arial" w:cs="Arial"/>
              </w:rPr>
            </w:pPr>
            <w:r w:rsidRPr="00182DA3">
              <w:rPr>
                <w:rFonts w:ascii="Arial" w:hAnsi="Arial" w:cs="Arial"/>
              </w:rPr>
              <w:t>3</w:t>
            </w:r>
          </w:p>
        </w:tc>
        <w:tc>
          <w:tcPr>
            <w:tcW w:w="8302" w:type="dxa"/>
          </w:tcPr>
          <w:p w14:paraId="4FC4048D" w14:textId="77777777" w:rsidR="00286BC4" w:rsidRPr="00182DA3" w:rsidRDefault="00286BC4" w:rsidP="00EC649E">
            <w:pPr>
              <w:rPr>
                <w:rFonts w:ascii="Arial" w:hAnsi="Arial" w:cs="Arial"/>
              </w:rPr>
            </w:pPr>
            <w:r>
              <w:rPr>
                <w:rFonts w:ascii="Arial" w:hAnsi="Arial" w:cs="Arial"/>
              </w:rPr>
              <w:t>Ensure</w:t>
            </w:r>
            <w:r w:rsidRPr="00E34097">
              <w:rPr>
                <w:rFonts w:ascii="Arial" w:hAnsi="Arial" w:cs="Arial"/>
              </w:rPr>
              <w:t xml:space="preserve"> rapid access to prescriber</w:t>
            </w:r>
            <w:r>
              <w:rPr>
                <w:rFonts w:ascii="Arial" w:hAnsi="Arial" w:cs="Arial"/>
              </w:rPr>
              <w:t>s for young people being admitted into Coordinated Specialty Care programs. (First Episode Psychosis)</w:t>
            </w:r>
          </w:p>
        </w:tc>
      </w:tr>
      <w:tr w:rsidR="00286BC4" w:rsidRPr="00182DA3" w14:paraId="19C822B6" w14:textId="77777777" w:rsidTr="00EC649E">
        <w:tc>
          <w:tcPr>
            <w:tcW w:w="1048" w:type="dxa"/>
          </w:tcPr>
          <w:p w14:paraId="58A68667" w14:textId="77777777" w:rsidR="00286BC4" w:rsidRPr="00182DA3" w:rsidRDefault="00286BC4" w:rsidP="00EC649E">
            <w:pPr>
              <w:jc w:val="center"/>
              <w:rPr>
                <w:rFonts w:ascii="Arial" w:hAnsi="Arial" w:cs="Arial"/>
              </w:rPr>
            </w:pPr>
            <w:r>
              <w:rPr>
                <w:rFonts w:ascii="Arial" w:hAnsi="Arial" w:cs="Arial"/>
              </w:rPr>
              <w:t>4</w:t>
            </w:r>
          </w:p>
        </w:tc>
        <w:tc>
          <w:tcPr>
            <w:tcW w:w="8302" w:type="dxa"/>
          </w:tcPr>
          <w:p w14:paraId="077EF7EF" w14:textId="77777777" w:rsidR="00286BC4" w:rsidRDefault="00286BC4" w:rsidP="00EC649E">
            <w:pPr>
              <w:rPr>
                <w:rFonts w:ascii="Arial" w:hAnsi="Arial" w:cs="Arial"/>
              </w:rPr>
            </w:pPr>
            <w:r>
              <w:rPr>
                <w:rFonts w:ascii="Arial" w:hAnsi="Arial" w:cs="Arial"/>
              </w:rPr>
              <w:t xml:space="preserve">Increase the number of 988 crisis calls, texts and chats answered in-state. </w:t>
            </w:r>
          </w:p>
          <w:p w14:paraId="2CFA4F7C" w14:textId="77777777" w:rsidR="00286BC4" w:rsidRPr="00182DA3" w:rsidRDefault="00286BC4" w:rsidP="00EC649E">
            <w:pPr>
              <w:rPr>
                <w:rFonts w:ascii="Arial" w:hAnsi="Arial" w:cs="Arial"/>
              </w:rPr>
            </w:pPr>
          </w:p>
        </w:tc>
      </w:tr>
      <w:tr w:rsidR="00286BC4" w:rsidRPr="00182DA3" w14:paraId="67EFAF43" w14:textId="77777777" w:rsidTr="00EC649E">
        <w:trPr>
          <w:trHeight w:val="278"/>
        </w:trPr>
        <w:tc>
          <w:tcPr>
            <w:tcW w:w="1048" w:type="dxa"/>
          </w:tcPr>
          <w:p w14:paraId="2DE871B7" w14:textId="77777777" w:rsidR="00286BC4" w:rsidRPr="00182DA3" w:rsidRDefault="00286BC4" w:rsidP="00EC649E">
            <w:pPr>
              <w:jc w:val="center"/>
              <w:rPr>
                <w:rFonts w:ascii="Arial" w:hAnsi="Arial" w:cs="Arial"/>
              </w:rPr>
            </w:pPr>
            <w:r>
              <w:rPr>
                <w:rFonts w:ascii="Arial" w:hAnsi="Arial" w:cs="Arial"/>
              </w:rPr>
              <w:t>5</w:t>
            </w:r>
          </w:p>
        </w:tc>
        <w:tc>
          <w:tcPr>
            <w:tcW w:w="8302" w:type="dxa"/>
          </w:tcPr>
          <w:p w14:paraId="495F4BE7" w14:textId="77777777" w:rsidR="00286BC4" w:rsidRPr="00182DA3" w:rsidRDefault="00286BC4" w:rsidP="00EC649E">
            <w:pPr>
              <w:rPr>
                <w:rFonts w:ascii="Arial" w:hAnsi="Arial" w:cs="Arial"/>
              </w:rPr>
            </w:pPr>
            <w:r>
              <w:rPr>
                <w:rFonts w:ascii="Arial" w:hAnsi="Arial" w:cs="Arial"/>
              </w:rPr>
              <w:t xml:space="preserve">Simultaneously protect infants who are affected by prenatal substance use and support mothers and families in their capacity to provide care to infants following birth/hospital discharges, by expanding Plan of Safe Care (POSC) capacity and focus. </w:t>
            </w:r>
          </w:p>
        </w:tc>
      </w:tr>
      <w:tr w:rsidR="00286BC4" w:rsidRPr="00182DA3" w14:paraId="3FFF5021" w14:textId="77777777" w:rsidTr="00EC649E">
        <w:tc>
          <w:tcPr>
            <w:tcW w:w="1048" w:type="dxa"/>
          </w:tcPr>
          <w:p w14:paraId="71238F14" w14:textId="77777777" w:rsidR="00286BC4" w:rsidRDefault="00286BC4" w:rsidP="00EC649E">
            <w:pPr>
              <w:jc w:val="center"/>
              <w:rPr>
                <w:rFonts w:ascii="Arial" w:hAnsi="Arial" w:cs="Arial"/>
              </w:rPr>
            </w:pPr>
            <w:r>
              <w:rPr>
                <w:rFonts w:ascii="Arial" w:hAnsi="Arial" w:cs="Arial"/>
              </w:rPr>
              <w:t>6</w:t>
            </w:r>
          </w:p>
          <w:p w14:paraId="7C34E820" w14:textId="77777777" w:rsidR="00286BC4" w:rsidRPr="00182DA3" w:rsidRDefault="00286BC4" w:rsidP="00EC649E">
            <w:pPr>
              <w:jc w:val="center"/>
              <w:rPr>
                <w:rFonts w:ascii="Arial" w:hAnsi="Arial" w:cs="Arial"/>
              </w:rPr>
            </w:pPr>
          </w:p>
        </w:tc>
        <w:tc>
          <w:tcPr>
            <w:tcW w:w="8302" w:type="dxa"/>
          </w:tcPr>
          <w:p w14:paraId="14BA0931" w14:textId="77777777" w:rsidR="00286BC4" w:rsidRPr="00182DA3" w:rsidRDefault="00286BC4" w:rsidP="00EC649E">
            <w:pPr>
              <w:rPr>
                <w:rFonts w:ascii="Arial" w:hAnsi="Arial" w:cs="Arial"/>
              </w:rPr>
            </w:pPr>
            <w:r>
              <w:rPr>
                <w:rFonts w:ascii="Arial" w:hAnsi="Arial" w:cs="Arial"/>
              </w:rPr>
              <w:lastRenderedPageBreak/>
              <w:t xml:space="preserve">Increase the number of Kentucky youth who receive prevention services related to vaping. </w:t>
            </w:r>
          </w:p>
        </w:tc>
      </w:tr>
      <w:tr w:rsidR="00286BC4" w:rsidRPr="00182DA3" w14:paraId="04CDA496" w14:textId="77777777" w:rsidTr="00EC649E">
        <w:tc>
          <w:tcPr>
            <w:tcW w:w="1048" w:type="dxa"/>
          </w:tcPr>
          <w:p w14:paraId="40B1C5B9" w14:textId="77777777" w:rsidR="00286BC4" w:rsidRPr="00182DA3" w:rsidRDefault="00286BC4" w:rsidP="00EC649E">
            <w:pPr>
              <w:jc w:val="center"/>
              <w:rPr>
                <w:rFonts w:ascii="Arial" w:hAnsi="Arial" w:cs="Arial"/>
              </w:rPr>
            </w:pPr>
            <w:r>
              <w:rPr>
                <w:rFonts w:ascii="Arial" w:hAnsi="Arial" w:cs="Arial"/>
              </w:rPr>
              <w:t>7</w:t>
            </w:r>
          </w:p>
        </w:tc>
        <w:tc>
          <w:tcPr>
            <w:tcW w:w="8302" w:type="dxa"/>
          </w:tcPr>
          <w:p w14:paraId="7EFB2BD6" w14:textId="77777777" w:rsidR="00286BC4" w:rsidRPr="00182DA3" w:rsidRDefault="00286BC4" w:rsidP="00EC649E">
            <w:pPr>
              <w:rPr>
                <w:rFonts w:ascii="Arial" w:hAnsi="Arial" w:cs="Arial"/>
              </w:rPr>
            </w:pPr>
            <w:r>
              <w:rPr>
                <w:rFonts w:ascii="Arial" w:hAnsi="Arial" w:cs="Arial"/>
              </w:rPr>
              <w:t xml:space="preserve">Increase the availability and awareness of Syringe Services Programs (SSPs) across the state. </w:t>
            </w:r>
          </w:p>
        </w:tc>
      </w:tr>
      <w:tr w:rsidR="00286BC4" w:rsidRPr="00182DA3" w14:paraId="0C41E2A8" w14:textId="77777777" w:rsidTr="00EC649E">
        <w:tc>
          <w:tcPr>
            <w:tcW w:w="1048" w:type="dxa"/>
          </w:tcPr>
          <w:p w14:paraId="602FBB13" w14:textId="77777777" w:rsidR="00286BC4" w:rsidRPr="00182DA3" w:rsidRDefault="00286BC4" w:rsidP="00EC649E">
            <w:pPr>
              <w:jc w:val="center"/>
              <w:rPr>
                <w:rFonts w:ascii="Arial" w:hAnsi="Arial" w:cs="Arial"/>
              </w:rPr>
            </w:pPr>
            <w:r>
              <w:rPr>
                <w:rFonts w:ascii="Arial" w:hAnsi="Arial" w:cs="Arial"/>
              </w:rPr>
              <w:t>8</w:t>
            </w:r>
          </w:p>
        </w:tc>
        <w:tc>
          <w:tcPr>
            <w:tcW w:w="8302" w:type="dxa"/>
          </w:tcPr>
          <w:p w14:paraId="2228A4AA" w14:textId="77777777" w:rsidR="00286BC4" w:rsidRPr="00182DA3" w:rsidRDefault="00286BC4" w:rsidP="00EC649E">
            <w:pPr>
              <w:rPr>
                <w:rFonts w:ascii="Arial" w:hAnsi="Arial" w:cs="Arial"/>
              </w:rPr>
            </w:pPr>
            <w:r w:rsidRPr="00182DA3">
              <w:rPr>
                <w:rFonts w:ascii="Arial" w:hAnsi="Arial" w:cs="Arial"/>
              </w:rPr>
              <w:t xml:space="preserve">Ensure </w:t>
            </w:r>
            <w:r>
              <w:rPr>
                <w:rFonts w:ascii="Arial" w:hAnsi="Arial" w:cs="Arial"/>
              </w:rPr>
              <w:t>in</w:t>
            </w:r>
            <w:r w:rsidRPr="00182DA3">
              <w:rPr>
                <w:rFonts w:ascii="Arial" w:hAnsi="Arial" w:cs="Arial"/>
              </w:rPr>
              <w:t>div</w:t>
            </w:r>
            <w:r>
              <w:rPr>
                <w:rFonts w:ascii="Arial" w:hAnsi="Arial" w:cs="Arial"/>
              </w:rPr>
              <w:t>iduals receiving substance use disorder s</w:t>
            </w:r>
            <w:r w:rsidRPr="00182DA3">
              <w:rPr>
                <w:rFonts w:ascii="Arial" w:hAnsi="Arial" w:cs="Arial"/>
              </w:rPr>
              <w:t>ervices are appropri</w:t>
            </w:r>
            <w:r>
              <w:rPr>
                <w:rFonts w:ascii="Arial" w:hAnsi="Arial" w:cs="Arial"/>
              </w:rPr>
              <w:t>ately screened for tuberculosis</w:t>
            </w:r>
            <w:r w:rsidRPr="00182DA3">
              <w:rPr>
                <w:rFonts w:ascii="Arial" w:hAnsi="Arial" w:cs="Arial"/>
              </w:rPr>
              <w:t xml:space="preserve"> </w:t>
            </w:r>
          </w:p>
        </w:tc>
      </w:tr>
    </w:tbl>
    <w:p w14:paraId="56A0F2CA" w14:textId="77777777" w:rsidR="00286BC4" w:rsidRPr="00182DA3" w:rsidRDefault="00286BC4" w:rsidP="00286BC4">
      <w:pPr>
        <w:jc w:val="both"/>
        <w:rPr>
          <w:rFonts w:ascii="Arial" w:hAnsi="Arial" w:cs="Arial"/>
          <w:i/>
        </w:rPr>
      </w:pPr>
      <w:r w:rsidRPr="00182DA3">
        <w:rPr>
          <w:rFonts w:ascii="Arial" w:hAnsi="Arial" w:cs="Arial"/>
          <w:i/>
        </w:rPr>
        <w:t>Detail about measurement and strategies to achieve the goals above are provided in Section III of the FFY 20</w:t>
      </w:r>
      <w:r>
        <w:rPr>
          <w:rFonts w:ascii="Arial" w:hAnsi="Arial" w:cs="Arial"/>
          <w:i/>
        </w:rPr>
        <w:t>24/2025</w:t>
      </w:r>
      <w:r w:rsidRPr="00182DA3">
        <w:rPr>
          <w:rFonts w:ascii="Arial" w:hAnsi="Arial" w:cs="Arial"/>
          <w:i/>
        </w:rPr>
        <w:t xml:space="preserve"> application. </w:t>
      </w:r>
    </w:p>
    <w:p w14:paraId="778F0C37" w14:textId="77777777" w:rsidR="00286BC4" w:rsidRDefault="00286BC4" w:rsidP="00286BC4">
      <w:pPr>
        <w:jc w:val="both"/>
        <w:rPr>
          <w:rFonts w:ascii="Arial" w:hAnsi="Arial" w:cs="Arial"/>
          <w:b/>
        </w:rPr>
      </w:pPr>
    </w:p>
    <w:p w14:paraId="45D49C35" w14:textId="77777777" w:rsidR="00286BC4" w:rsidRPr="00182DA3" w:rsidRDefault="00286BC4" w:rsidP="00286BC4">
      <w:pPr>
        <w:jc w:val="both"/>
        <w:rPr>
          <w:rFonts w:ascii="Arial" w:hAnsi="Arial" w:cs="Arial"/>
          <w:b/>
        </w:rPr>
      </w:pPr>
      <w:r w:rsidRPr="00182DA3">
        <w:rPr>
          <w:rFonts w:ascii="Arial" w:hAnsi="Arial" w:cs="Arial"/>
          <w:b/>
        </w:rPr>
        <w:t>A Note about the Application and Reporting Due Dates and Fiscal Years</w:t>
      </w:r>
    </w:p>
    <w:p w14:paraId="08796B68" w14:textId="77777777" w:rsidR="00286BC4" w:rsidRPr="00182DA3" w:rsidRDefault="00286BC4" w:rsidP="00286BC4">
      <w:pPr>
        <w:jc w:val="both"/>
        <w:rPr>
          <w:rFonts w:ascii="Arial" w:hAnsi="Arial" w:cs="Arial"/>
          <w:b/>
        </w:rPr>
      </w:pPr>
      <w:r w:rsidRPr="00182DA3">
        <w:rPr>
          <w:rFonts w:ascii="Arial" w:hAnsi="Arial" w:cs="Arial"/>
        </w:rPr>
        <w:t>The FFY 20</w:t>
      </w:r>
      <w:r>
        <w:rPr>
          <w:rFonts w:ascii="Arial" w:hAnsi="Arial" w:cs="Arial"/>
        </w:rPr>
        <w:t>24-25</w:t>
      </w:r>
      <w:r w:rsidRPr="00182DA3">
        <w:rPr>
          <w:rFonts w:ascii="Arial" w:hAnsi="Arial" w:cs="Arial"/>
        </w:rPr>
        <w:t xml:space="preserve"> block grant unified application must be submitted by September </w:t>
      </w:r>
      <w:r>
        <w:rPr>
          <w:rFonts w:ascii="Arial" w:hAnsi="Arial" w:cs="Arial"/>
        </w:rPr>
        <w:t>1, 2023,</w:t>
      </w:r>
      <w:r w:rsidRPr="00182DA3">
        <w:rPr>
          <w:rFonts w:ascii="Arial" w:hAnsi="Arial" w:cs="Arial"/>
        </w:rPr>
        <w:t xml:space="preserve"> for the two</w:t>
      </w:r>
      <w:r>
        <w:rPr>
          <w:rFonts w:ascii="Arial" w:hAnsi="Arial" w:cs="Arial"/>
        </w:rPr>
        <w:t>-</w:t>
      </w:r>
      <w:r w:rsidRPr="00182DA3">
        <w:rPr>
          <w:rFonts w:ascii="Arial" w:hAnsi="Arial" w:cs="Arial"/>
        </w:rPr>
        <w:t>year period of October 1</w:t>
      </w:r>
      <w:r>
        <w:rPr>
          <w:rFonts w:ascii="Arial" w:hAnsi="Arial" w:cs="Arial"/>
        </w:rPr>
        <w:t xml:space="preserve">, 2023 </w:t>
      </w:r>
      <w:r w:rsidRPr="00182DA3">
        <w:rPr>
          <w:rFonts w:ascii="Arial" w:hAnsi="Arial" w:cs="Arial"/>
        </w:rPr>
        <w:t>-</w:t>
      </w:r>
      <w:r>
        <w:rPr>
          <w:rFonts w:ascii="Arial" w:hAnsi="Arial" w:cs="Arial"/>
        </w:rPr>
        <w:t xml:space="preserve"> </w:t>
      </w:r>
      <w:r w:rsidRPr="00182DA3">
        <w:rPr>
          <w:rFonts w:ascii="Arial" w:hAnsi="Arial" w:cs="Arial"/>
        </w:rPr>
        <w:t>September 30, 20</w:t>
      </w:r>
      <w:r>
        <w:rPr>
          <w:rFonts w:ascii="Arial" w:hAnsi="Arial" w:cs="Arial"/>
        </w:rPr>
        <w:t>25</w:t>
      </w:r>
      <w:r w:rsidRPr="00182DA3">
        <w:rPr>
          <w:rFonts w:ascii="Arial" w:hAnsi="Arial" w:cs="Arial"/>
        </w:rPr>
        <w:t>.  States</w:t>
      </w:r>
      <w:r>
        <w:rPr>
          <w:rFonts w:ascii="Arial" w:hAnsi="Arial" w:cs="Arial"/>
        </w:rPr>
        <w:t xml:space="preserve"> </w:t>
      </w:r>
      <w:r w:rsidRPr="00182DA3">
        <w:rPr>
          <w:rFonts w:ascii="Arial" w:hAnsi="Arial" w:cs="Arial"/>
        </w:rPr>
        <w:t xml:space="preserve">are </w:t>
      </w:r>
      <w:r>
        <w:rPr>
          <w:rFonts w:ascii="Arial" w:hAnsi="Arial" w:cs="Arial"/>
        </w:rPr>
        <w:t xml:space="preserve">also </w:t>
      </w:r>
      <w:r w:rsidRPr="00182DA3">
        <w:rPr>
          <w:rFonts w:ascii="Arial" w:hAnsi="Arial" w:cs="Arial"/>
        </w:rPr>
        <w:t>required to submit an abbreviated funding application based on their plan in the interim year (prior to September</w:t>
      </w:r>
      <w:r>
        <w:rPr>
          <w:rFonts w:ascii="Arial" w:hAnsi="Arial" w:cs="Arial"/>
        </w:rPr>
        <w:t xml:space="preserve"> 1, 2024</w:t>
      </w:r>
      <w:r w:rsidRPr="00182DA3">
        <w:rPr>
          <w:rFonts w:ascii="Arial" w:hAnsi="Arial" w:cs="Arial"/>
        </w:rPr>
        <w:t xml:space="preserve">).    The table below shows the timelines with which states must comply. </w:t>
      </w:r>
    </w:p>
    <w:tbl>
      <w:tblPr>
        <w:tblStyle w:val="TableGrid"/>
        <w:tblW w:w="0" w:type="auto"/>
        <w:tblLook w:val="04A0" w:firstRow="1" w:lastRow="0" w:firstColumn="1" w:lastColumn="0" w:noHBand="0" w:noVBand="1"/>
      </w:tblPr>
      <w:tblGrid>
        <w:gridCol w:w="1358"/>
        <w:gridCol w:w="1238"/>
        <w:gridCol w:w="1514"/>
        <w:gridCol w:w="1708"/>
        <w:gridCol w:w="1721"/>
        <w:gridCol w:w="1811"/>
      </w:tblGrid>
      <w:tr w:rsidR="00286BC4" w:rsidRPr="00182DA3" w14:paraId="35A6E20F" w14:textId="77777777" w:rsidTr="00EC649E">
        <w:tc>
          <w:tcPr>
            <w:tcW w:w="1368" w:type="dxa"/>
            <w:shd w:val="clear" w:color="auto" w:fill="F2F2F2" w:themeFill="background1" w:themeFillShade="F2"/>
            <w:vAlign w:val="center"/>
          </w:tcPr>
          <w:p w14:paraId="351A3991" w14:textId="77777777" w:rsidR="00286BC4" w:rsidRPr="00182DA3" w:rsidRDefault="00286BC4" w:rsidP="00EC649E">
            <w:pPr>
              <w:jc w:val="center"/>
              <w:rPr>
                <w:rFonts w:ascii="Arial" w:hAnsi="Arial" w:cs="Arial"/>
              </w:rPr>
            </w:pPr>
            <w:r w:rsidRPr="00182DA3">
              <w:rPr>
                <w:rFonts w:ascii="Arial" w:hAnsi="Arial" w:cs="Arial"/>
              </w:rPr>
              <w:t>Application for FFY</w:t>
            </w:r>
          </w:p>
        </w:tc>
        <w:tc>
          <w:tcPr>
            <w:tcW w:w="1260" w:type="dxa"/>
            <w:shd w:val="clear" w:color="auto" w:fill="F2F2F2" w:themeFill="background1" w:themeFillShade="F2"/>
            <w:vAlign w:val="center"/>
          </w:tcPr>
          <w:p w14:paraId="4A1F3FC6" w14:textId="77777777" w:rsidR="00286BC4" w:rsidRPr="00182DA3" w:rsidRDefault="00286BC4" w:rsidP="00EC649E">
            <w:pPr>
              <w:jc w:val="center"/>
              <w:rPr>
                <w:rFonts w:ascii="Arial" w:hAnsi="Arial" w:cs="Arial"/>
              </w:rPr>
            </w:pPr>
            <w:r w:rsidRPr="00182DA3">
              <w:rPr>
                <w:rFonts w:ascii="Arial" w:hAnsi="Arial" w:cs="Arial"/>
              </w:rPr>
              <w:t xml:space="preserve">Two Year </w:t>
            </w:r>
          </w:p>
          <w:p w14:paraId="2BDE6F70" w14:textId="77777777" w:rsidR="00286BC4" w:rsidRPr="00182DA3" w:rsidRDefault="00286BC4" w:rsidP="00EC649E">
            <w:pPr>
              <w:jc w:val="center"/>
              <w:rPr>
                <w:rFonts w:ascii="Arial" w:hAnsi="Arial" w:cs="Arial"/>
              </w:rPr>
            </w:pPr>
            <w:r w:rsidRPr="00182DA3">
              <w:rPr>
                <w:rFonts w:ascii="Arial" w:hAnsi="Arial" w:cs="Arial"/>
              </w:rPr>
              <w:t>Plan Due</w:t>
            </w:r>
          </w:p>
        </w:tc>
        <w:tc>
          <w:tcPr>
            <w:tcW w:w="1530" w:type="dxa"/>
            <w:shd w:val="clear" w:color="auto" w:fill="F2F2F2" w:themeFill="background1" w:themeFillShade="F2"/>
          </w:tcPr>
          <w:p w14:paraId="0F65F3BB" w14:textId="77777777" w:rsidR="00286BC4" w:rsidRPr="00182DA3" w:rsidRDefault="00286BC4" w:rsidP="00EC649E">
            <w:pPr>
              <w:jc w:val="center"/>
              <w:rPr>
                <w:rFonts w:ascii="Arial" w:hAnsi="Arial" w:cs="Arial"/>
              </w:rPr>
            </w:pPr>
            <w:r w:rsidRPr="00182DA3">
              <w:rPr>
                <w:rFonts w:ascii="Arial" w:hAnsi="Arial" w:cs="Arial"/>
              </w:rPr>
              <w:t>Abbreviated Funding Application</w:t>
            </w:r>
          </w:p>
        </w:tc>
        <w:tc>
          <w:tcPr>
            <w:tcW w:w="1800" w:type="dxa"/>
            <w:shd w:val="clear" w:color="auto" w:fill="F2F2F2" w:themeFill="background1" w:themeFillShade="F2"/>
            <w:vAlign w:val="center"/>
          </w:tcPr>
          <w:p w14:paraId="554410D1" w14:textId="77777777" w:rsidR="00286BC4" w:rsidRPr="00182DA3" w:rsidRDefault="00286BC4" w:rsidP="00EC649E">
            <w:pPr>
              <w:jc w:val="center"/>
              <w:rPr>
                <w:rFonts w:ascii="Arial" w:hAnsi="Arial" w:cs="Arial"/>
              </w:rPr>
            </w:pPr>
            <w:r w:rsidRPr="00182DA3">
              <w:rPr>
                <w:rFonts w:ascii="Arial" w:hAnsi="Arial" w:cs="Arial"/>
              </w:rPr>
              <w:t xml:space="preserve">Plan is for </w:t>
            </w:r>
            <w:proofErr w:type="gramStart"/>
            <w:r w:rsidRPr="00182DA3">
              <w:rPr>
                <w:rFonts w:ascii="Arial" w:hAnsi="Arial" w:cs="Arial"/>
              </w:rPr>
              <w:t>the  Period</w:t>
            </w:r>
            <w:proofErr w:type="gramEnd"/>
            <w:r w:rsidRPr="00182DA3">
              <w:rPr>
                <w:rFonts w:ascii="Arial" w:hAnsi="Arial" w:cs="Arial"/>
              </w:rPr>
              <w:t xml:space="preserve"> of</w:t>
            </w:r>
          </w:p>
        </w:tc>
        <w:tc>
          <w:tcPr>
            <w:tcW w:w="1721" w:type="dxa"/>
            <w:shd w:val="clear" w:color="auto" w:fill="F2F2F2" w:themeFill="background1" w:themeFillShade="F2"/>
            <w:vAlign w:val="center"/>
          </w:tcPr>
          <w:p w14:paraId="2F46117F" w14:textId="77777777" w:rsidR="00286BC4" w:rsidRPr="00182DA3" w:rsidRDefault="00286BC4" w:rsidP="00EC649E">
            <w:pPr>
              <w:jc w:val="center"/>
              <w:rPr>
                <w:rFonts w:ascii="Arial" w:hAnsi="Arial" w:cs="Arial"/>
              </w:rPr>
            </w:pPr>
            <w:r w:rsidRPr="00182DA3">
              <w:rPr>
                <w:rFonts w:ascii="Arial" w:hAnsi="Arial" w:cs="Arial"/>
              </w:rPr>
              <w:t>Implementation Reports Due</w:t>
            </w:r>
          </w:p>
        </w:tc>
        <w:tc>
          <w:tcPr>
            <w:tcW w:w="1897" w:type="dxa"/>
            <w:shd w:val="clear" w:color="auto" w:fill="F2F2F2" w:themeFill="background1" w:themeFillShade="F2"/>
            <w:vAlign w:val="center"/>
          </w:tcPr>
          <w:p w14:paraId="2E19FA5F" w14:textId="77777777" w:rsidR="00286BC4" w:rsidRPr="00182DA3" w:rsidRDefault="00286BC4" w:rsidP="00EC649E">
            <w:pPr>
              <w:jc w:val="center"/>
              <w:rPr>
                <w:rFonts w:ascii="Arial" w:hAnsi="Arial" w:cs="Arial"/>
              </w:rPr>
            </w:pPr>
            <w:r w:rsidRPr="00182DA3">
              <w:rPr>
                <w:rFonts w:ascii="Arial" w:hAnsi="Arial" w:cs="Arial"/>
              </w:rPr>
              <w:t>Reporting Period</w:t>
            </w:r>
          </w:p>
        </w:tc>
      </w:tr>
      <w:tr w:rsidR="00286BC4" w:rsidRPr="00182DA3" w14:paraId="2676AF24" w14:textId="77777777" w:rsidTr="00EC649E">
        <w:tc>
          <w:tcPr>
            <w:tcW w:w="1368" w:type="dxa"/>
            <w:vAlign w:val="center"/>
          </w:tcPr>
          <w:p w14:paraId="5E3B213B" w14:textId="77777777" w:rsidR="00286BC4" w:rsidRPr="00182DA3" w:rsidRDefault="00286BC4" w:rsidP="00EC649E">
            <w:pPr>
              <w:jc w:val="center"/>
              <w:rPr>
                <w:rFonts w:ascii="Arial" w:hAnsi="Arial" w:cs="Arial"/>
              </w:rPr>
            </w:pPr>
            <w:r>
              <w:rPr>
                <w:rFonts w:ascii="Arial" w:hAnsi="Arial" w:cs="Arial"/>
              </w:rPr>
              <w:t>2024</w:t>
            </w:r>
          </w:p>
        </w:tc>
        <w:tc>
          <w:tcPr>
            <w:tcW w:w="1260" w:type="dxa"/>
            <w:vAlign w:val="center"/>
          </w:tcPr>
          <w:p w14:paraId="1D76AEBA" w14:textId="77777777" w:rsidR="00286BC4" w:rsidRPr="00182DA3" w:rsidRDefault="00286BC4" w:rsidP="00EC649E">
            <w:pPr>
              <w:jc w:val="center"/>
              <w:rPr>
                <w:rFonts w:ascii="Arial" w:hAnsi="Arial" w:cs="Arial"/>
              </w:rPr>
            </w:pPr>
            <w:r w:rsidRPr="00182DA3">
              <w:rPr>
                <w:rFonts w:ascii="Arial" w:hAnsi="Arial" w:cs="Arial"/>
              </w:rPr>
              <w:t xml:space="preserve"> </w:t>
            </w:r>
            <w:r>
              <w:rPr>
                <w:rFonts w:ascii="Arial" w:hAnsi="Arial" w:cs="Arial"/>
              </w:rPr>
              <w:t>9/1/2023</w:t>
            </w:r>
          </w:p>
        </w:tc>
        <w:tc>
          <w:tcPr>
            <w:tcW w:w="1530" w:type="dxa"/>
          </w:tcPr>
          <w:p w14:paraId="6D19C453" w14:textId="77777777" w:rsidR="00286BC4" w:rsidRPr="00182DA3" w:rsidRDefault="00286BC4" w:rsidP="00EC649E">
            <w:pPr>
              <w:jc w:val="center"/>
              <w:rPr>
                <w:rFonts w:ascii="Arial" w:hAnsi="Arial" w:cs="Arial"/>
              </w:rPr>
            </w:pPr>
          </w:p>
        </w:tc>
        <w:tc>
          <w:tcPr>
            <w:tcW w:w="1800" w:type="dxa"/>
            <w:vAlign w:val="center"/>
          </w:tcPr>
          <w:p w14:paraId="108D8B2F" w14:textId="77777777" w:rsidR="00286BC4" w:rsidRPr="00182DA3" w:rsidRDefault="00286BC4" w:rsidP="00EC649E">
            <w:pPr>
              <w:jc w:val="center"/>
              <w:rPr>
                <w:rFonts w:ascii="Arial" w:hAnsi="Arial" w:cs="Arial"/>
              </w:rPr>
            </w:pPr>
            <w:r>
              <w:rPr>
                <w:rFonts w:ascii="Arial" w:hAnsi="Arial" w:cs="Arial"/>
              </w:rPr>
              <w:t>10/1/23</w:t>
            </w:r>
            <w:r w:rsidRPr="00182DA3">
              <w:rPr>
                <w:rFonts w:ascii="Arial" w:hAnsi="Arial" w:cs="Arial"/>
              </w:rPr>
              <w:t>-9/30/</w:t>
            </w:r>
            <w:r>
              <w:rPr>
                <w:rFonts w:ascii="Arial" w:hAnsi="Arial" w:cs="Arial"/>
              </w:rPr>
              <w:t>24</w:t>
            </w:r>
          </w:p>
        </w:tc>
        <w:tc>
          <w:tcPr>
            <w:tcW w:w="1721" w:type="dxa"/>
            <w:vAlign w:val="center"/>
          </w:tcPr>
          <w:p w14:paraId="21213443" w14:textId="77777777" w:rsidR="00286BC4" w:rsidRPr="00182DA3" w:rsidRDefault="00286BC4" w:rsidP="00EC649E">
            <w:pPr>
              <w:jc w:val="center"/>
              <w:rPr>
                <w:rFonts w:ascii="Arial" w:hAnsi="Arial" w:cs="Arial"/>
              </w:rPr>
            </w:pPr>
            <w:r>
              <w:rPr>
                <w:rFonts w:ascii="Arial" w:hAnsi="Arial" w:cs="Arial"/>
              </w:rPr>
              <w:t>12/1/23</w:t>
            </w:r>
          </w:p>
        </w:tc>
        <w:tc>
          <w:tcPr>
            <w:tcW w:w="1897" w:type="dxa"/>
            <w:vAlign w:val="center"/>
          </w:tcPr>
          <w:p w14:paraId="11DEABEF" w14:textId="77777777" w:rsidR="00286BC4" w:rsidRPr="00182DA3" w:rsidRDefault="00286BC4" w:rsidP="00EC649E">
            <w:pPr>
              <w:jc w:val="center"/>
              <w:rPr>
                <w:rFonts w:ascii="Arial" w:hAnsi="Arial" w:cs="Arial"/>
              </w:rPr>
            </w:pPr>
            <w:r>
              <w:rPr>
                <w:rFonts w:ascii="Arial" w:hAnsi="Arial" w:cs="Arial"/>
              </w:rPr>
              <w:t>7/1/22-6/30/23</w:t>
            </w:r>
          </w:p>
        </w:tc>
      </w:tr>
      <w:tr w:rsidR="00286BC4" w:rsidRPr="00182DA3" w14:paraId="6D3D0F92" w14:textId="77777777" w:rsidTr="00EC649E">
        <w:tc>
          <w:tcPr>
            <w:tcW w:w="1368" w:type="dxa"/>
            <w:vAlign w:val="center"/>
          </w:tcPr>
          <w:p w14:paraId="3229BE36" w14:textId="77777777" w:rsidR="00286BC4" w:rsidRPr="00182DA3" w:rsidRDefault="00286BC4" w:rsidP="00EC649E">
            <w:pPr>
              <w:jc w:val="center"/>
              <w:rPr>
                <w:rFonts w:ascii="Arial" w:hAnsi="Arial" w:cs="Arial"/>
              </w:rPr>
            </w:pPr>
            <w:r w:rsidRPr="00182DA3">
              <w:rPr>
                <w:rFonts w:ascii="Arial" w:hAnsi="Arial" w:cs="Arial"/>
              </w:rPr>
              <w:t>20</w:t>
            </w:r>
            <w:r>
              <w:rPr>
                <w:rFonts w:ascii="Arial" w:hAnsi="Arial" w:cs="Arial"/>
              </w:rPr>
              <w:t>25</w:t>
            </w:r>
          </w:p>
        </w:tc>
        <w:tc>
          <w:tcPr>
            <w:tcW w:w="1260" w:type="dxa"/>
            <w:vAlign w:val="center"/>
          </w:tcPr>
          <w:p w14:paraId="0672F80F" w14:textId="77777777" w:rsidR="00286BC4" w:rsidRPr="00182DA3" w:rsidRDefault="00286BC4" w:rsidP="00EC649E">
            <w:pPr>
              <w:jc w:val="center"/>
              <w:rPr>
                <w:rFonts w:ascii="Arial" w:hAnsi="Arial" w:cs="Arial"/>
              </w:rPr>
            </w:pPr>
          </w:p>
        </w:tc>
        <w:tc>
          <w:tcPr>
            <w:tcW w:w="1530" w:type="dxa"/>
          </w:tcPr>
          <w:p w14:paraId="03A31425" w14:textId="77777777" w:rsidR="00286BC4" w:rsidRPr="00182DA3" w:rsidRDefault="00286BC4" w:rsidP="00EC649E">
            <w:pPr>
              <w:jc w:val="center"/>
              <w:rPr>
                <w:rFonts w:ascii="Arial" w:hAnsi="Arial" w:cs="Arial"/>
              </w:rPr>
            </w:pPr>
            <w:r>
              <w:rPr>
                <w:rFonts w:ascii="Arial" w:hAnsi="Arial" w:cs="Arial"/>
              </w:rPr>
              <w:t>9/1/2024</w:t>
            </w:r>
          </w:p>
        </w:tc>
        <w:tc>
          <w:tcPr>
            <w:tcW w:w="1800" w:type="dxa"/>
            <w:vAlign w:val="center"/>
          </w:tcPr>
          <w:p w14:paraId="224887DD" w14:textId="77777777" w:rsidR="00286BC4" w:rsidRPr="00182DA3" w:rsidRDefault="00286BC4" w:rsidP="00EC649E">
            <w:pPr>
              <w:jc w:val="center"/>
              <w:rPr>
                <w:rFonts w:ascii="Arial" w:hAnsi="Arial" w:cs="Arial"/>
              </w:rPr>
            </w:pPr>
            <w:r w:rsidRPr="00182DA3">
              <w:rPr>
                <w:rFonts w:ascii="Arial" w:hAnsi="Arial" w:cs="Arial"/>
              </w:rPr>
              <w:t>10/1/</w:t>
            </w:r>
            <w:r>
              <w:rPr>
                <w:rFonts w:ascii="Arial" w:hAnsi="Arial" w:cs="Arial"/>
              </w:rPr>
              <w:t>24-9/30/25</w:t>
            </w:r>
          </w:p>
        </w:tc>
        <w:tc>
          <w:tcPr>
            <w:tcW w:w="1721" w:type="dxa"/>
            <w:vAlign w:val="center"/>
          </w:tcPr>
          <w:p w14:paraId="5390FA82" w14:textId="77777777" w:rsidR="00286BC4" w:rsidRPr="00182DA3" w:rsidRDefault="00286BC4" w:rsidP="00EC649E">
            <w:pPr>
              <w:jc w:val="center"/>
              <w:rPr>
                <w:rFonts w:ascii="Arial" w:hAnsi="Arial" w:cs="Arial"/>
              </w:rPr>
            </w:pPr>
            <w:r>
              <w:rPr>
                <w:rFonts w:ascii="Arial" w:hAnsi="Arial" w:cs="Arial"/>
              </w:rPr>
              <w:t>12/1/24</w:t>
            </w:r>
          </w:p>
        </w:tc>
        <w:tc>
          <w:tcPr>
            <w:tcW w:w="1897" w:type="dxa"/>
            <w:vAlign w:val="center"/>
          </w:tcPr>
          <w:p w14:paraId="7BE7232A" w14:textId="77777777" w:rsidR="00286BC4" w:rsidRPr="00182DA3" w:rsidRDefault="00286BC4" w:rsidP="00EC649E">
            <w:pPr>
              <w:jc w:val="center"/>
              <w:rPr>
                <w:rFonts w:ascii="Arial" w:hAnsi="Arial" w:cs="Arial"/>
              </w:rPr>
            </w:pPr>
            <w:r>
              <w:rPr>
                <w:rFonts w:ascii="Arial" w:hAnsi="Arial" w:cs="Arial"/>
              </w:rPr>
              <w:t>7/1/23</w:t>
            </w:r>
            <w:r w:rsidRPr="00182DA3">
              <w:rPr>
                <w:rFonts w:ascii="Arial" w:hAnsi="Arial" w:cs="Arial"/>
              </w:rPr>
              <w:t>-6/30/</w:t>
            </w:r>
            <w:r>
              <w:rPr>
                <w:rFonts w:ascii="Arial" w:hAnsi="Arial" w:cs="Arial"/>
              </w:rPr>
              <w:t>24</w:t>
            </w:r>
          </w:p>
        </w:tc>
      </w:tr>
    </w:tbl>
    <w:p w14:paraId="5A8B440E" w14:textId="77777777" w:rsidR="00286BC4" w:rsidRDefault="00286BC4" w:rsidP="00286BC4">
      <w:pPr>
        <w:jc w:val="both"/>
        <w:rPr>
          <w:rFonts w:ascii="Arial" w:hAnsi="Arial" w:cs="Arial"/>
          <w:color w:val="000000"/>
          <w:lang w:val="en"/>
        </w:rPr>
      </w:pPr>
      <w:r w:rsidRPr="00182DA3">
        <w:rPr>
          <w:rFonts w:ascii="Arial" w:hAnsi="Arial" w:cs="Arial"/>
          <w:i/>
        </w:rPr>
        <w:t xml:space="preserve">Note: Reporting timeframes for SYNAR (sale of tobacco products to minors) will remain on the same schedule and are due annually by December 31. </w:t>
      </w:r>
      <w:r w:rsidRPr="00182DA3">
        <w:rPr>
          <w:rFonts w:ascii="Arial" w:hAnsi="Arial" w:cs="Arial"/>
          <w:color w:val="000000"/>
          <w:lang w:val="en"/>
        </w:rPr>
        <w:t xml:space="preserve"> </w:t>
      </w:r>
    </w:p>
    <w:p w14:paraId="2BBEBC35" w14:textId="77777777" w:rsidR="00286BC4" w:rsidRDefault="00286BC4" w:rsidP="00286BC4">
      <w:pPr>
        <w:jc w:val="both"/>
        <w:rPr>
          <w:rFonts w:ascii="Arial" w:hAnsi="Arial" w:cs="Arial"/>
          <w:color w:val="000000"/>
          <w:lang w:val="en"/>
        </w:rPr>
      </w:pPr>
    </w:p>
    <w:p w14:paraId="4F46FF0A" w14:textId="77777777" w:rsidR="00286BC4" w:rsidRDefault="00286BC4" w:rsidP="00286BC4">
      <w:pPr>
        <w:jc w:val="both"/>
        <w:rPr>
          <w:rFonts w:ascii="Arial" w:hAnsi="Arial" w:cs="Arial"/>
          <w:color w:val="000000"/>
          <w:lang w:val="en"/>
        </w:rPr>
      </w:pPr>
    </w:p>
    <w:p w14:paraId="71B30EE7" w14:textId="77777777" w:rsidR="00286BC4" w:rsidRDefault="00286BC4" w:rsidP="00286BC4">
      <w:pPr>
        <w:jc w:val="both"/>
        <w:rPr>
          <w:rFonts w:ascii="Arial" w:hAnsi="Arial" w:cs="Arial"/>
          <w:color w:val="000000"/>
          <w:lang w:val="en"/>
        </w:rPr>
      </w:pPr>
    </w:p>
    <w:p w14:paraId="7D4F9FD0" w14:textId="77777777" w:rsidR="00286BC4" w:rsidRDefault="00286BC4" w:rsidP="00286BC4">
      <w:pPr>
        <w:jc w:val="both"/>
        <w:rPr>
          <w:rFonts w:ascii="Arial" w:hAnsi="Arial" w:cs="Arial"/>
          <w:color w:val="000000"/>
          <w:lang w:val="en"/>
        </w:rPr>
      </w:pPr>
    </w:p>
    <w:p w14:paraId="72B2DDFA" w14:textId="77777777" w:rsidR="00286BC4" w:rsidRDefault="00286BC4" w:rsidP="00286BC4">
      <w:pPr>
        <w:jc w:val="both"/>
        <w:rPr>
          <w:rFonts w:ascii="Arial" w:hAnsi="Arial" w:cs="Arial"/>
          <w:color w:val="000000"/>
          <w:lang w:val="en"/>
        </w:rPr>
      </w:pPr>
    </w:p>
    <w:p w14:paraId="52FAC3EB" w14:textId="77777777" w:rsidR="00286BC4" w:rsidRDefault="00286BC4" w:rsidP="00286BC4">
      <w:pPr>
        <w:jc w:val="both"/>
        <w:rPr>
          <w:rFonts w:ascii="Arial" w:hAnsi="Arial" w:cs="Arial"/>
          <w:color w:val="000000"/>
          <w:lang w:val="en"/>
        </w:rPr>
      </w:pPr>
    </w:p>
    <w:p w14:paraId="5DE9906C" w14:textId="77777777" w:rsidR="00286BC4" w:rsidRDefault="00286BC4" w:rsidP="00286BC4">
      <w:pPr>
        <w:jc w:val="both"/>
        <w:rPr>
          <w:rFonts w:ascii="Arial" w:hAnsi="Arial" w:cs="Arial"/>
          <w:color w:val="000000"/>
          <w:lang w:val="en"/>
        </w:rPr>
      </w:pPr>
    </w:p>
    <w:p w14:paraId="645662F6" w14:textId="77777777" w:rsidR="00286BC4" w:rsidRDefault="00286BC4" w:rsidP="00286BC4">
      <w:pPr>
        <w:jc w:val="both"/>
        <w:rPr>
          <w:rFonts w:ascii="Arial" w:hAnsi="Arial" w:cs="Arial"/>
          <w:color w:val="000000"/>
          <w:lang w:val="en"/>
        </w:rPr>
      </w:pPr>
    </w:p>
    <w:p w14:paraId="19F0B9A4" w14:textId="77777777" w:rsidR="00726959" w:rsidRDefault="00000000"/>
    <w:sectPr w:rsidR="0072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3273F"/>
    <w:multiLevelType w:val="hybridMultilevel"/>
    <w:tmpl w:val="49B4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35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C4"/>
    <w:rsid w:val="00286BC4"/>
    <w:rsid w:val="005610C8"/>
    <w:rsid w:val="007F4717"/>
    <w:rsid w:val="00D1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417A"/>
  <w15:chartTrackingRefBased/>
  <w15:docId w15:val="{C29A8144-475D-4FB3-809C-257EBE20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C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B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86BC4"/>
    <w:pPr>
      <w:spacing w:after="0" w:line="240" w:lineRule="auto"/>
      <w:jc w:val="center"/>
    </w:pPr>
    <w:rPr>
      <w:rFonts w:ascii="Arial" w:eastAsia="Times New Roman" w:hAnsi="Arial" w:cs="Times New Roman"/>
      <w:b/>
      <w:i/>
      <w:szCs w:val="20"/>
    </w:rPr>
  </w:style>
  <w:style w:type="character" w:customStyle="1" w:styleId="TitleChar">
    <w:name w:val="Title Char"/>
    <w:basedOn w:val="DefaultParagraphFont"/>
    <w:link w:val="Title"/>
    <w:rsid w:val="00286BC4"/>
    <w:rPr>
      <w:rFonts w:ascii="Arial" w:eastAsia="Times New Roman" w:hAnsi="Arial" w:cs="Times New Roman"/>
      <w:b/>
      <w:i/>
      <w:szCs w:val="20"/>
    </w:rPr>
  </w:style>
  <w:style w:type="paragraph" w:styleId="Subtitle">
    <w:name w:val="Subtitle"/>
    <w:basedOn w:val="Normal"/>
    <w:link w:val="SubtitleChar"/>
    <w:qFormat/>
    <w:rsid w:val="00286BC4"/>
    <w:pPr>
      <w:pBdr>
        <w:bottom w:val="single" w:sz="48" w:space="1" w:color="C0C0C0"/>
      </w:pBdr>
      <w:spacing w:after="0" w:line="240" w:lineRule="auto"/>
    </w:pPr>
    <w:rPr>
      <w:rFonts w:ascii="Arial" w:eastAsia="Times New Roman" w:hAnsi="Arial" w:cs="Times New Roman"/>
      <w:b/>
      <w:sz w:val="24"/>
      <w:szCs w:val="20"/>
    </w:rPr>
  </w:style>
  <w:style w:type="character" w:customStyle="1" w:styleId="SubtitleChar">
    <w:name w:val="Subtitle Char"/>
    <w:basedOn w:val="DefaultParagraphFont"/>
    <w:link w:val="Subtitle"/>
    <w:rsid w:val="00286BC4"/>
    <w:rPr>
      <w:rFonts w:ascii="Arial" w:eastAsia="Times New Roman" w:hAnsi="Arial" w:cs="Times New Roman"/>
      <w:b/>
      <w:sz w:val="24"/>
      <w:szCs w:val="20"/>
    </w:rPr>
  </w:style>
  <w:style w:type="paragraph" w:styleId="ListParagraph">
    <w:name w:val="List Paragraph"/>
    <w:basedOn w:val="Normal"/>
    <w:uiPriority w:val="34"/>
    <w:qFormat/>
    <w:rsid w:val="0028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Runyon, Melissa K (BHDID/Frankfort)</dc:creator>
  <cp:keywords/>
  <dc:description/>
  <cp:lastModifiedBy>Runyon, Melissa K (BHDID/Frankfort)</cp:lastModifiedBy>
  <cp:revision>1</cp:revision>
  <dcterms:created xsi:type="dcterms:W3CDTF">2023-07-21T12:54:00Z</dcterms:created>
  <dcterms:modified xsi:type="dcterms:W3CDTF">2023-07-21T12:55:00Z</dcterms:modified>
</cp:coreProperties>
</file>