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DE375" w14:textId="77777777" w:rsidR="003761B6" w:rsidRDefault="00F2709E">
      <w:pPr>
        <w:spacing w:after="500" w:line="312" w:lineRule="auto"/>
        <w:jc w:val="center"/>
        <w:rPr>
          <w:rFonts w:ascii="Times New Roman" w:eastAsia="Times New Roman" w:hAnsi="Times New Roman" w:cs="Times New Roman"/>
          <w:color w:val="191919"/>
        </w:rPr>
      </w:pPr>
      <w:r>
        <w:rPr>
          <w:rFonts w:ascii="Times New Roman" w:eastAsia="Times New Roman" w:hAnsi="Times New Roman" w:cs="Times New Roman"/>
          <w:noProof/>
          <w:color w:val="191919"/>
          <w:lang w:val="en-US"/>
        </w:rPr>
        <w:drawing>
          <wp:inline distT="114300" distB="114300" distL="114300" distR="114300" wp14:anchorId="1FF44893" wp14:editId="7990EE90">
            <wp:extent cx="1704975" cy="123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04975" cy="1231050"/>
                    </a:xfrm>
                    <a:prstGeom prst="rect">
                      <a:avLst/>
                    </a:prstGeom>
                    <a:ln/>
                  </pic:spPr>
                </pic:pic>
              </a:graphicData>
            </a:graphic>
          </wp:inline>
        </w:drawing>
      </w:r>
    </w:p>
    <w:p w14:paraId="658BF1D8" w14:textId="77777777" w:rsidR="002E6022" w:rsidRDefault="00F2709E" w:rsidP="002E6022">
      <w:pPr>
        <w:spacing w:line="240" w:lineRule="auto"/>
        <w:jc w:val="center"/>
        <w:rPr>
          <w:rFonts w:asciiTheme="majorHAnsi" w:eastAsia="Times New Roman" w:hAnsiTheme="majorHAnsi" w:cstheme="majorHAnsi"/>
          <w:color w:val="191919"/>
        </w:rPr>
      </w:pPr>
      <w:r w:rsidRPr="00D64686">
        <w:rPr>
          <w:rFonts w:asciiTheme="majorHAnsi" w:eastAsia="Times New Roman" w:hAnsiTheme="majorHAnsi" w:cstheme="majorHAnsi"/>
          <w:color w:val="191919"/>
        </w:rPr>
        <w:t xml:space="preserve">Testimony from: </w:t>
      </w:r>
    </w:p>
    <w:p w14:paraId="44C9CC5A" w14:textId="77777777" w:rsidR="003761B6" w:rsidRDefault="00F2709E" w:rsidP="002E6022">
      <w:pPr>
        <w:spacing w:line="240" w:lineRule="auto"/>
        <w:jc w:val="center"/>
        <w:rPr>
          <w:rFonts w:asciiTheme="majorHAnsi" w:eastAsia="Times New Roman" w:hAnsiTheme="majorHAnsi" w:cstheme="majorHAnsi"/>
          <w:color w:val="191919"/>
        </w:rPr>
      </w:pPr>
      <w:r w:rsidRPr="00D64686">
        <w:rPr>
          <w:rFonts w:asciiTheme="majorHAnsi" w:eastAsia="Times New Roman" w:hAnsiTheme="majorHAnsi" w:cstheme="majorHAnsi"/>
          <w:color w:val="191919"/>
        </w:rPr>
        <w:t xml:space="preserve">Shoshana </w:t>
      </w:r>
      <w:proofErr w:type="spellStart"/>
      <w:r w:rsidRPr="00D64686">
        <w:rPr>
          <w:rFonts w:asciiTheme="majorHAnsi" w:eastAsia="Times New Roman" w:hAnsiTheme="majorHAnsi" w:cstheme="majorHAnsi"/>
          <w:color w:val="191919"/>
        </w:rPr>
        <w:t>Weissmann</w:t>
      </w:r>
      <w:proofErr w:type="spellEnd"/>
      <w:r w:rsidRPr="00D64686">
        <w:rPr>
          <w:rFonts w:asciiTheme="majorHAnsi" w:eastAsia="Times New Roman" w:hAnsiTheme="majorHAnsi" w:cstheme="majorHAnsi"/>
          <w:color w:val="191919"/>
        </w:rPr>
        <w:t>, Fellow, R Street Institute</w:t>
      </w:r>
    </w:p>
    <w:p w14:paraId="0CB16D38" w14:textId="77777777" w:rsidR="002E6022" w:rsidRPr="00D64686" w:rsidRDefault="002E6022" w:rsidP="002E6022">
      <w:pPr>
        <w:spacing w:line="240" w:lineRule="auto"/>
        <w:jc w:val="center"/>
        <w:rPr>
          <w:rFonts w:asciiTheme="majorHAnsi" w:eastAsia="Times New Roman" w:hAnsiTheme="majorHAnsi" w:cstheme="majorHAnsi"/>
          <w:color w:val="191919"/>
        </w:rPr>
      </w:pPr>
    </w:p>
    <w:p w14:paraId="0DB7ACA0" w14:textId="77777777" w:rsidR="003761B6" w:rsidRDefault="00F2709E" w:rsidP="002E6022">
      <w:pPr>
        <w:spacing w:line="240" w:lineRule="auto"/>
        <w:jc w:val="center"/>
        <w:rPr>
          <w:rFonts w:asciiTheme="majorHAnsi" w:eastAsia="Times New Roman" w:hAnsiTheme="majorHAnsi" w:cstheme="majorHAnsi"/>
          <w:color w:val="191919"/>
        </w:rPr>
      </w:pPr>
      <w:r w:rsidRPr="00CB7F8D">
        <w:rPr>
          <w:rFonts w:asciiTheme="majorHAnsi" w:eastAsia="Times New Roman" w:hAnsiTheme="majorHAnsi" w:cstheme="majorHAnsi"/>
          <w:b/>
          <w:color w:val="191919"/>
        </w:rPr>
        <w:t>In SUPPORT of</w:t>
      </w:r>
      <w:r w:rsidRPr="00D64686">
        <w:rPr>
          <w:rFonts w:asciiTheme="majorHAnsi" w:eastAsia="Times New Roman" w:hAnsiTheme="majorHAnsi" w:cstheme="majorHAnsi"/>
          <w:color w:val="191919"/>
        </w:rPr>
        <w:t xml:space="preserve"> HB 343, “AN ACT relating to universal recognition of occupational licenses.”</w:t>
      </w:r>
    </w:p>
    <w:p w14:paraId="5A664134" w14:textId="77777777" w:rsidR="002E6022" w:rsidRPr="00D64686" w:rsidRDefault="002E6022" w:rsidP="002E6022">
      <w:pPr>
        <w:spacing w:line="240" w:lineRule="auto"/>
        <w:jc w:val="center"/>
        <w:rPr>
          <w:rFonts w:asciiTheme="majorHAnsi" w:eastAsia="Times New Roman" w:hAnsiTheme="majorHAnsi" w:cstheme="majorHAnsi"/>
          <w:color w:val="191919"/>
        </w:rPr>
      </w:pPr>
    </w:p>
    <w:p w14:paraId="1FE041E2" w14:textId="77777777" w:rsidR="003761B6" w:rsidRDefault="00F2709E" w:rsidP="002E6022">
      <w:pPr>
        <w:spacing w:line="240" w:lineRule="auto"/>
        <w:jc w:val="center"/>
        <w:rPr>
          <w:rFonts w:asciiTheme="majorHAnsi" w:eastAsia="Times New Roman" w:hAnsiTheme="majorHAnsi" w:cstheme="majorHAnsi"/>
          <w:color w:val="191919"/>
        </w:rPr>
      </w:pPr>
      <w:r w:rsidRPr="00D64686">
        <w:rPr>
          <w:rFonts w:asciiTheme="majorHAnsi" w:eastAsia="Times New Roman" w:hAnsiTheme="majorHAnsi" w:cstheme="majorHAnsi"/>
          <w:color w:val="191919"/>
        </w:rPr>
        <w:t>June 22, 2023</w:t>
      </w:r>
    </w:p>
    <w:p w14:paraId="794C3458" w14:textId="77777777" w:rsidR="002E6022" w:rsidRPr="00D64686" w:rsidRDefault="002E6022" w:rsidP="002E6022">
      <w:pPr>
        <w:spacing w:line="240" w:lineRule="auto"/>
        <w:jc w:val="center"/>
        <w:rPr>
          <w:rFonts w:asciiTheme="majorHAnsi" w:eastAsia="Times New Roman" w:hAnsiTheme="majorHAnsi" w:cstheme="majorHAnsi"/>
          <w:color w:val="191919"/>
        </w:rPr>
      </w:pPr>
    </w:p>
    <w:p w14:paraId="7B810B7A" w14:textId="77777777" w:rsidR="003761B6" w:rsidRDefault="00F2709E" w:rsidP="002E6022">
      <w:pPr>
        <w:spacing w:line="240" w:lineRule="auto"/>
        <w:jc w:val="center"/>
        <w:rPr>
          <w:rFonts w:asciiTheme="majorHAnsi" w:eastAsia="Times New Roman" w:hAnsiTheme="majorHAnsi" w:cstheme="majorHAnsi"/>
          <w:color w:val="191919"/>
        </w:rPr>
      </w:pPr>
      <w:r w:rsidRPr="00D64686">
        <w:rPr>
          <w:rFonts w:asciiTheme="majorHAnsi" w:eastAsia="Times New Roman" w:hAnsiTheme="majorHAnsi" w:cstheme="majorHAnsi"/>
          <w:color w:val="191919"/>
        </w:rPr>
        <w:t>Interim Joint Committee on Licensing, Occupations, and Administrative Regulations</w:t>
      </w:r>
    </w:p>
    <w:p w14:paraId="20A23CBC" w14:textId="77777777" w:rsidR="002E6022" w:rsidRPr="00D64686" w:rsidRDefault="002E6022" w:rsidP="002E6022">
      <w:pPr>
        <w:spacing w:line="240" w:lineRule="auto"/>
        <w:jc w:val="center"/>
        <w:rPr>
          <w:rFonts w:asciiTheme="majorHAnsi" w:eastAsia="Times New Roman" w:hAnsiTheme="majorHAnsi" w:cstheme="majorHAnsi"/>
          <w:color w:val="191919"/>
        </w:rPr>
      </w:pPr>
    </w:p>
    <w:p w14:paraId="0B00C40E" w14:textId="2D2E9768" w:rsidR="003761B6" w:rsidRDefault="002E6022"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Chairm</w:t>
      </w:r>
      <w:r>
        <w:rPr>
          <w:rFonts w:asciiTheme="majorHAnsi" w:eastAsia="Times New Roman" w:hAnsiTheme="majorHAnsi" w:cstheme="majorHAnsi"/>
          <w:color w:val="191919"/>
        </w:rPr>
        <w:t>a</w:t>
      </w:r>
      <w:r w:rsidRPr="00D64686">
        <w:rPr>
          <w:rFonts w:asciiTheme="majorHAnsi" w:eastAsia="Times New Roman" w:hAnsiTheme="majorHAnsi" w:cstheme="majorHAnsi"/>
          <w:color w:val="191919"/>
        </w:rPr>
        <w:t xml:space="preserve">n </w:t>
      </w:r>
      <w:proofErr w:type="spellStart"/>
      <w:r w:rsidR="00F2709E" w:rsidRPr="00D64686">
        <w:rPr>
          <w:rFonts w:asciiTheme="majorHAnsi" w:eastAsia="Times New Roman" w:hAnsiTheme="majorHAnsi" w:cstheme="majorHAnsi"/>
          <w:color w:val="191919"/>
        </w:rPr>
        <w:t>Schickel</w:t>
      </w:r>
      <w:proofErr w:type="spellEnd"/>
      <w:r w:rsidR="00F2709E" w:rsidRPr="00D64686">
        <w:rPr>
          <w:rFonts w:asciiTheme="majorHAnsi" w:eastAsia="Times New Roman" w:hAnsiTheme="majorHAnsi" w:cstheme="majorHAnsi"/>
          <w:color w:val="191919"/>
        </w:rPr>
        <w:t xml:space="preserve">, Chairman Koch and members of the </w:t>
      </w:r>
      <w:r w:rsidR="00C56B6C">
        <w:rPr>
          <w:rFonts w:asciiTheme="majorHAnsi" w:eastAsia="Times New Roman" w:hAnsiTheme="majorHAnsi" w:cstheme="majorHAnsi"/>
          <w:color w:val="191919"/>
        </w:rPr>
        <w:t>I</w:t>
      </w:r>
      <w:r w:rsidR="00F2709E" w:rsidRPr="00D64686">
        <w:rPr>
          <w:rFonts w:asciiTheme="majorHAnsi" w:eastAsia="Times New Roman" w:hAnsiTheme="majorHAnsi" w:cstheme="majorHAnsi"/>
          <w:color w:val="191919"/>
        </w:rPr>
        <w:t xml:space="preserve">nterim </w:t>
      </w:r>
      <w:r w:rsidR="00C56B6C">
        <w:rPr>
          <w:rFonts w:asciiTheme="majorHAnsi" w:eastAsia="Times New Roman" w:hAnsiTheme="majorHAnsi" w:cstheme="majorHAnsi"/>
          <w:color w:val="191919"/>
        </w:rPr>
        <w:t>J</w:t>
      </w:r>
      <w:r w:rsidR="00F2709E" w:rsidRPr="00D64686">
        <w:rPr>
          <w:rFonts w:asciiTheme="majorHAnsi" w:eastAsia="Times New Roman" w:hAnsiTheme="majorHAnsi" w:cstheme="majorHAnsi"/>
          <w:color w:val="191919"/>
        </w:rPr>
        <w:t>oint Committee,</w:t>
      </w:r>
    </w:p>
    <w:p w14:paraId="376DF2B3" w14:textId="77777777" w:rsidR="00D64686" w:rsidRPr="00D64686" w:rsidRDefault="00D64686" w:rsidP="002E6022">
      <w:pPr>
        <w:spacing w:line="240" w:lineRule="auto"/>
        <w:rPr>
          <w:rFonts w:asciiTheme="majorHAnsi" w:eastAsia="Times New Roman" w:hAnsiTheme="majorHAnsi" w:cstheme="majorHAnsi"/>
          <w:color w:val="191919"/>
        </w:rPr>
      </w:pPr>
    </w:p>
    <w:p w14:paraId="10049DEA" w14:textId="77777777" w:rsidR="003761B6" w:rsidRDefault="002E6022" w:rsidP="002E6022">
      <w:pPr>
        <w:spacing w:line="240" w:lineRule="auto"/>
        <w:rPr>
          <w:rFonts w:asciiTheme="majorHAnsi" w:eastAsia="Times New Roman" w:hAnsiTheme="majorHAnsi" w:cstheme="majorHAnsi"/>
          <w:color w:val="191919"/>
        </w:rPr>
      </w:pPr>
      <w:r>
        <w:rPr>
          <w:rFonts w:asciiTheme="majorHAnsi" w:eastAsia="Times New Roman" w:hAnsiTheme="majorHAnsi" w:cstheme="majorHAnsi"/>
          <w:color w:val="191919"/>
        </w:rPr>
        <w:t xml:space="preserve">Thank you for considering my testimony. </w:t>
      </w:r>
      <w:r w:rsidR="00F2709E" w:rsidRPr="00D64686">
        <w:rPr>
          <w:rFonts w:asciiTheme="majorHAnsi" w:eastAsia="Times New Roman" w:hAnsiTheme="majorHAnsi" w:cstheme="majorHAnsi"/>
          <w:color w:val="191919"/>
        </w:rPr>
        <w:t xml:space="preserve">My name is Shoshana </w:t>
      </w:r>
      <w:proofErr w:type="spellStart"/>
      <w:r w:rsidR="00F2709E" w:rsidRPr="00D64686">
        <w:rPr>
          <w:rFonts w:asciiTheme="majorHAnsi" w:eastAsia="Times New Roman" w:hAnsiTheme="majorHAnsi" w:cstheme="majorHAnsi"/>
          <w:color w:val="191919"/>
        </w:rPr>
        <w:t>Weissmann</w:t>
      </w:r>
      <w:proofErr w:type="spellEnd"/>
      <w:r w:rsidR="00F2709E" w:rsidRPr="00D64686">
        <w:rPr>
          <w:rFonts w:asciiTheme="majorHAnsi" w:eastAsia="Times New Roman" w:hAnsiTheme="majorHAnsi" w:cstheme="majorHAnsi"/>
          <w:color w:val="191919"/>
        </w:rPr>
        <w:t>, and I am a fellow studying regulatory policy for the R Street Institute, a nonprofit, nonpartisan public policy research organization. Our mission is to engage in policy research and outreach to promote free markets and limited, effective government in many areas, including professional licensing reform. This is why HB 343 is of particular interest to our organization.</w:t>
      </w:r>
    </w:p>
    <w:p w14:paraId="1C2AC82B" w14:textId="77777777" w:rsidR="00D64686" w:rsidRPr="00D64686" w:rsidRDefault="00D64686" w:rsidP="002E6022">
      <w:pPr>
        <w:spacing w:line="240" w:lineRule="auto"/>
        <w:rPr>
          <w:rFonts w:asciiTheme="majorHAnsi" w:eastAsia="Times New Roman" w:hAnsiTheme="majorHAnsi" w:cstheme="majorHAnsi"/>
          <w:color w:val="191919"/>
        </w:rPr>
      </w:pPr>
    </w:p>
    <w:p w14:paraId="304DC8E7" w14:textId="7D37605D" w:rsidR="003761B6"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As members of this joint committee</w:t>
      </w:r>
      <w:r w:rsidR="005A65FE">
        <w:rPr>
          <w:rFonts w:asciiTheme="majorHAnsi" w:eastAsia="Times New Roman" w:hAnsiTheme="majorHAnsi" w:cstheme="majorHAnsi"/>
          <w:color w:val="191919"/>
        </w:rPr>
        <w:t>,</w:t>
      </w:r>
      <w:r w:rsidRPr="00D64686">
        <w:rPr>
          <w:rFonts w:asciiTheme="majorHAnsi" w:eastAsia="Times New Roman" w:hAnsiTheme="majorHAnsi" w:cstheme="majorHAnsi"/>
          <w:color w:val="191919"/>
        </w:rPr>
        <w:t xml:space="preserve"> you know better than most that about one out of every four workers need</w:t>
      </w:r>
      <w:r w:rsidR="005A65FE">
        <w:rPr>
          <w:rFonts w:asciiTheme="majorHAnsi" w:eastAsia="Times New Roman" w:hAnsiTheme="majorHAnsi" w:cstheme="majorHAnsi"/>
          <w:color w:val="191919"/>
        </w:rPr>
        <w:t>s</w:t>
      </w:r>
      <w:r w:rsidRPr="00D64686">
        <w:rPr>
          <w:rFonts w:asciiTheme="majorHAnsi" w:eastAsia="Times New Roman" w:hAnsiTheme="majorHAnsi" w:cstheme="majorHAnsi"/>
          <w:color w:val="191919"/>
        </w:rPr>
        <w:t xml:space="preserve"> some kind of government-approved certification to work in their chosen profession.</w:t>
      </w:r>
      <w:r w:rsidRPr="00D64686">
        <w:rPr>
          <w:rFonts w:asciiTheme="majorHAnsi" w:eastAsia="Times New Roman" w:hAnsiTheme="majorHAnsi" w:cstheme="majorHAnsi"/>
          <w:color w:val="191919"/>
          <w:vertAlign w:val="superscript"/>
        </w:rPr>
        <w:footnoteReference w:id="1"/>
      </w:r>
      <w:r w:rsidRPr="00D64686">
        <w:rPr>
          <w:rFonts w:asciiTheme="majorHAnsi" w:eastAsia="Times New Roman" w:hAnsiTheme="majorHAnsi" w:cstheme="majorHAnsi"/>
          <w:color w:val="191919"/>
        </w:rPr>
        <w:t xml:space="preserve"> Unfortunately, most licenses are not designed with mobility in mind. This is where workers need help. </w:t>
      </w:r>
    </w:p>
    <w:p w14:paraId="332110FF" w14:textId="77777777" w:rsidR="00D64686" w:rsidRPr="00D64686" w:rsidRDefault="00D64686" w:rsidP="002E6022">
      <w:pPr>
        <w:spacing w:line="240" w:lineRule="auto"/>
        <w:rPr>
          <w:rFonts w:asciiTheme="majorHAnsi" w:eastAsia="Times New Roman" w:hAnsiTheme="majorHAnsi" w:cstheme="majorHAnsi"/>
          <w:color w:val="191919"/>
        </w:rPr>
      </w:pPr>
    </w:p>
    <w:p w14:paraId="1695E0A1" w14:textId="2291F731" w:rsidR="003761B6"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 xml:space="preserve">If this legislation is enacted, Kentucky would join more than 20 other states </w:t>
      </w:r>
      <w:r w:rsidR="005A65FE">
        <w:rPr>
          <w:rFonts w:asciiTheme="majorHAnsi" w:eastAsia="Times New Roman" w:hAnsiTheme="majorHAnsi" w:cstheme="majorHAnsi"/>
          <w:color w:val="191919"/>
        </w:rPr>
        <w:t>that</w:t>
      </w:r>
      <w:r w:rsidR="005A65FE" w:rsidRPr="00D64686">
        <w:rPr>
          <w:rFonts w:asciiTheme="majorHAnsi" w:eastAsia="Times New Roman" w:hAnsiTheme="majorHAnsi" w:cstheme="majorHAnsi"/>
          <w:color w:val="191919"/>
        </w:rPr>
        <w:t xml:space="preserve"> </w:t>
      </w:r>
      <w:r w:rsidR="005A65FE">
        <w:rPr>
          <w:rFonts w:asciiTheme="majorHAnsi" w:eastAsia="Times New Roman" w:hAnsiTheme="majorHAnsi" w:cstheme="majorHAnsi"/>
          <w:color w:val="191919"/>
        </w:rPr>
        <w:t xml:space="preserve">currently </w:t>
      </w:r>
      <w:r w:rsidRPr="00D64686">
        <w:rPr>
          <w:rFonts w:asciiTheme="majorHAnsi" w:eastAsia="Times New Roman" w:hAnsiTheme="majorHAnsi" w:cstheme="majorHAnsi"/>
          <w:color w:val="191919"/>
        </w:rPr>
        <w:t>allow people to acquire license</w:t>
      </w:r>
      <w:r w:rsidR="005A65FE">
        <w:rPr>
          <w:rFonts w:asciiTheme="majorHAnsi" w:eastAsia="Times New Roman" w:hAnsiTheme="majorHAnsi" w:cstheme="majorHAnsi"/>
          <w:color w:val="191919"/>
        </w:rPr>
        <w:t>s</w:t>
      </w:r>
      <w:r w:rsidRPr="00D64686">
        <w:rPr>
          <w:rFonts w:asciiTheme="majorHAnsi" w:eastAsia="Times New Roman" w:hAnsiTheme="majorHAnsi" w:cstheme="majorHAnsi"/>
          <w:color w:val="191919"/>
        </w:rPr>
        <w:t xml:space="preserve"> based on </w:t>
      </w:r>
      <w:r w:rsidR="00F0662F">
        <w:rPr>
          <w:rFonts w:asciiTheme="majorHAnsi" w:eastAsia="Times New Roman" w:hAnsiTheme="majorHAnsi" w:cstheme="majorHAnsi"/>
          <w:color w:val="191919"/>
        </w:rPr>
        <w:t>licensure</w:t>
      </w:r>
      <w:r w:rsidR="00F0662F" w:rsidRPr="00D6468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 xml:space="preserve">and actual work in other states. </w:t>
      </w:r>
      <w:r w:rsidR="005A65FE">
        <w:rPr>
          <w:rFonts w:asciiTheme="majorHAnsi" w:eastAsia="Times New Roman" w:hAnsiTheme="majorHAnsi" w:cstheme="majorHAnsi"/>
          <w:color w:val="191919"/>
        </w:rPr>
        <w:t>Those</w:t>
      </w:r>
      <w:r w:rsidR="005A65FE" w:rsidRPr="00D6468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 xml:space="preserve">that have enacted this reform </w:t>
      </w:r>
      <w:r w:rsidR="005A65FE">
        <w:rPr>
          <w:rFonts w:asciiTheme="majorHAnsi" w:eastAsia="Times New Roman" w:hAnsiTheme="majorHAnsi" w:cstheme="majorHAnsi"/>
          <w:color w:val="191919"/>
        </w:rPr>
        <w:t>have seen</w:t>
      </w:r>
      <w:r w:rsidR="005A65FE" w:rsidRPr="00D6468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substantial benefits.</w:t>
      </w:r>
      <w:r w:rsidRPr="00D64686">
        <w:rPr>
          <w:rFonts w:asciiTheme="majorHAnsi" w:eastAsia="Times New Roman" w:hAnsiTheme="majorHAnsi" w:cstheme="majorHAnsi"/>
          <w:color w:val="191919"/>
          <w:vertAlign w:val="superscript"/>
        </w:rPr>
        <w:footnoteReference w:id="2"/>
      </w:r>
      <w:r w:rsidRPr="00D64686">
        <w:rPr>
          <w:rFonts w:asciiTheme="majorHAnsi" w:eastAsia="Times New Roman" w:hAnsiTheme="majorHAnsi" w:cstheme="majorHAnsi"/>
          <w:color w:val="191919"/>
        </w:rPr>
        <w:t xml:space="preserve"> </w:t>
      </w:r>
      <w:r w:rsidR="005A65FE">
        <w:rPr>
          <w:rFonts w:asciiTheme="majorHAnsi" w:eastAsia="Times New Roman" w:hAnsiTheme="majorHAnsi" w:cstheme="majorHAnsi"/>
          <w:color w:val="191919"/>
        </w:rPr>
        <w:t>Universal recognition of</w:t>
      </w:r>
      <w:r w:rsidRPr="00D64686">
        <w:rPr>
          <w:rFonts w:asciiTheme="majorHAnsi" w:eastAsia="Times New Roman" w:hAnsiTheme="majorHAnsi" w:cstheme="majorHAnsi"/>
          <w:color w:val="191919"/>
        </w:rPr>
        <w:t xml:space="preserve"> occupational licenses </w:t>
      </w:r>
      <w:r w:rsidR="005A65FE">
        <w:rPr>
          <w:rFonts w:asciiTheme="majorHAnsi" w:eastAsia="Times New Roman" w:hAnsiTheme="majorHAnsi" w:cstheme="majorHAnsi"/>
          <w:color w:val="191919"/>
        </w:rPr>
        <w:t xml:space="preserve">will </w:t>
      </w:r>
      <w:r w:rsidRPr="00D64686">
        <w:rPr>
          <w:rFonts w:asciiTheme="majorHAnsi" w:eastAsia="Times New Roman" w:hAnsiTheme="majorHAnsi" w:cstheme="majorHAnsi"/>
          <w:color w:val="191919"/>
        </w:rPr>
        <w:t xml:space="preserve">encourage people to move to </w:t>
      </w:r>
      <w:r w:rsidR="005A65FE">
        <w:rPr>
          <w:rFonts w:asciiTheme="majorHAnsi" w:eastAsia="Times New Roman" w:hAnsiTheme="majorHAnsi" w:cstheme="majorHAnsi"/>
          <w:color w:val="191919"/>
        </w:rPr>
        <w:t>Kentucky</w:t>
      </w:r>
      <w:r w:rsidRPr="00D64686">
        <w:rPr>
          <w:rFonts w:asciiTheme="majorHAnsi" w:eastAsia="Times New Roman" w:hAnsiTheme="majorHAnsi" w:cstheme="majorHAnsi"/>
          <w:color w:val="191919"/>
        </w:rPr>
        <w:t xml:space="preserve"> and enable current residents to get back to the specialized work they know best. </w:t>
      </w:r>
      <w:r w:rsidR="005A65FE">
        <w:rPr>
          <w:rFonts w:asciiTheme="majorHAnsi" w:eastAsia="Times New Roman" w:hAnsiTheme="majorHAnsi" w:cstheme="majorHAnsi"/>
          <w:color w:val="191919"/>
        </w:rPr>
        <w:t>O</w:t>
      </w:r>
      <w:r w:rsidRPr="00D64686">
        <w:rPr>
          <w:rFonts w:asciiTheme="majorHAnsi" w:eastAsia="Times New Roman" w:hAnsiTheme="majorHAnsi" w:cstheme="majorHAnsi"/>
          <w:color w:val="191919"/>
        </w:rPr>
        <w:t>ne study found that “the migration rate into states with universal recognition increased by about 0.77 percentage points or 48.4% among individuals with low portability licenses after the policy change.</w:t>
      </w:r>
      <w:r w:rsidR="005347E4">
        <w:rPr>
          <w:rFonts w:asciiTheme="majorHAnsi" w:eastAsia="Times New Roman" w:hAnsiTheme="majorHAnsi" w:cstheme="majorHAnsi"/>
          <w:color w:val="191919"/>
        </w:rPr>
        <w:t>”</w:t>
      </w:r>
      <w:r w:rsidRPr="00D64686">
        <w:rPr>
          <w:rFonts w:asciiTheme="majorHAnsi" w:eastAsia="Times New Roman" w:hAnsiTheme="majorHAnsi" w:cstheme="majorHAnsi"/>
          <w:color w:val="191919"/>
          <w:vertAlign w:val="superscript"/>
        </w:rPr>
        <w:footnoteReference w:id="3"/>
      </w:r>
      <w:r w:rsidRPr="00D64686">
        <w:rPr>
          <w:rFonts w:asciiTheme="majorHAnsi" w:eastAsia="Times New Roman" w:hAnsiTheme="majorHAnsi" w:cstheme="majorHAnsi"/>
          <w:color w:val="191919"/>
        </w:rPr>
        <w:t xml:space="preserve"> The study also finds that “trailing spouses with out-of-state licenses are the major beneficiary </w:t>
      </w:r>
      <w:r w:rsidRPr="00D64686">
        <w:rPr>
          <w:rFonts w:asciiTheme="majorHAnsi" w:eastAsia="Times New Roman" w:hAnsiTheme="majorHAnsi" w:cstheme="majorHAnsi"/>
          <w:color w:val="191919"/>
        </w:rPr>
        <w:lastRenderedPageBreak/>
        <w:t>of universal recognition.”</w:t>
      </w:r>
      <w:r w:rsidRPr="00D64686">
        <w:rPr>
          <w:rFonts w:asciiTheme="majorHAnsi" w:eastAsia="Times New Roman" w:hAnsiTheme="majorHAnsi" w:cstheme="majorHAnsi"/>
          <w:color w:val="191919"/>
          <w:vertAlign w:val="superscript"/>
        </w:rPr>
        <w:footnoteReference w:id="4"/>
      </w:r>
      <w:r w:rsidRPr="00D64686">
        <w:rPr>
          <w:rFonts w:asciiTheme="majorHAnsi" w:eastAsia="Times New Roman" w:hAnsiTheme="majorHAnsi" w:cstheme="majorHAnsi"/>
          <w:color w:val="191919"/>
        </w:rPr>
        <w:t xml:space="preserve"> In other words, this policy would heavily benefit spouses of people who have </w:t>
      </w:r>
      <w:r w:rsidR="00F0662F">
        <w:rPr>
          <w:rFonts w:asciiTheme="majorHAnsi" w:eastAsia="Times New Roman" w:hAnsiTheme="majorHAnsi" w:cstheme="majorHAnsi"/>
          <w:color w:val="191919"/>
        </w:rPr>
        <w:t xml:space="preserve">already </w:t>
      </w:r>
      <w:r w:rsidRPr="00D64686">
        <w:rPr>
          <w:rFonts w:asciiTheme="majorHAnsi" w:eastAsia="Times New Roman" w:hAnsiTheme="majorHAnsi" w:cstheme="majorHAnsi"/>
          <w:color w:val="191919"/>
        </w:rPr>
        <w:t xml:space="preserve">moved to the Commonwealth of Kentucky for a better job. </w:t>
      </w:r>
    </w:p>
    <w:p w14:paraId="21A08E64" w14:textId="77777777" w:rsidR="00D64686" w:rsidRPr="00D64686" w:rsidRDefault="00D64686" w:rsidP="002E6022">
      <w:pPr>
        <w:spacing w:line="240" w:lineRule="auto"/>
        <w:rPr>
          <w:rFonts w:asciiTheme="majorHAnsi" w:eastAsia="Times New Roman" w:hAnsiTheme="majorHAnsi" w:cstheme="majorHAnsi"/>
          <w:color w:val="191919"/>
        </w:rPr>
      </w:pPr>
    </w:p>
    <w:p w14:paraId="27835730" w14:textId="24DB2A41" w:rsidR="003761B6" w:rsidRPr="00BF3BA7"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Improving licensing recognition for the spouses of our service</w:t>
      </w:r>
      <w:r w:rsidR="009764BF">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me</w:t>
      </w:r>
      <w:r w:rsidR="009764BF">
        <w:rPr>
          <w:rFonts w:asciiTheme="majorHAnsi" w:eastAsia="Times New Roman" w:hAnsiTheme="majorHAnsi" w:cstheme="majorHAnsi"/>
          <w:color w:val="191919"/>
        </w:rPr>
        <w:t>mbers</w:t>
      </w:r>
      <w:r w:rsidR="00911C4E">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 xml:space="preserve">is </w:t>
      </w:r>
      <w:r w:rsidR="00911C4E">
        <w:rPr>
          <w:rFonts w:asciiTheme="majorHAnsi" w:eastAsia="Times New Roman" w:hAnsiTheme="majorHAnsi" w:cstheme="majorHAnsi"/>
          <w:color w:val="191919"/>
        </w:rPr>
        <w:t>particular</w:t>
      </w:r>
      <w:r w:rsidR="00911C4E" w:rsidRPr="00D64686">
        <w:rPr>
          <w:rFonts w:asciiTheme="majorHAnsi" w:eastAsia="Times New Roman" w:hAnsiTheme="majorHAnsi" w:cstheme="majorHAnsi"/>
          <w:color w:val="191919"/>
        </w:rPr>
        <w:t xml:space="preserve">ly </w:t>
      </w:r>
      <w:r w:rsidRPr="00D64686">
        <w:rPr>
          <w:rFonts w:asciiTheme="majorHAnsi" w:eastAsia="Times New Roman" w:hAnsiTheme="majorHAnsi" w:cstheme="majorHAnsi"/>
          <w:color w:val="191919"/>
        </w:rPr>
        <w:t xml:space="preserve">important, as military families often </w:t>
      </w:r>
      <w:r w:rsidR="009764BF">
        <w:rPr>
          <w:rFonts w:asciiTheme="majorHAnsi" w:eastAsia="Times New Roman" w:hAnsiTheme="majorHAnsi" w:cstheme="majorHAnsi"/>
          <w:color w:val="191919"/>
        </w:rPr>
        <w:t>spend only a short time in one place</w:t>
      </w:r>
      <w:r w:rsidR="008A4C87">
        <w:rPr>
          <w:rFonts w:asciiTheme="majorHAnsi" w:eastAsia="Times New Roman" w:hAnsiTheme="majorHAnsi" w:cstheme="majorHAnsi"/>
          <w:color w:val="191919"/>
        </w:rPr>
        <w:t xml:space="preserve">, and </w:t>
      </w:r>
      <w:r w:rsidR="008A4C87" w:rsidRPr="00D64686">
        <w:rPr>
          <w:rFonts w:asciiTheme="majorHAnsi" w:eastAsia="Times New Roman" w:hAnsiTheme="majorHAnsi" w:cstheme="majorHAnsi"/>
          <w:color w:val="191919"/>
        </w:rPr>
        <w:t>34 percent of military spouses work in professions that require licenses</w:t>
      </w:r>
      <w:r w:rsidR="008A4C87" w:rsidRPr="00BF3BA7">
        <w:rPr>
          <w:rFonts w:asciiTheme="majorHAnsi" w:eastAsia="Times New Roman" w:hAnsiTheme="majorHAnsi" w:cstheme="majorHAnsi"/>
          <w:color w:val="191919"/>
        </w:rPr>
        <w:t>.</w:t>
      </w:r>
      <w:r w:rsidR="008A4C87" w:rsidRPr="00BF3BA7">
        <w:rPr>
          <w:rFonts w:asciiTheme="majorHAnsi" w:eastAsia="Times New Roman" w:hAnsiTheme="majorHAnsi" w:cstheme="majorHAnsi"/>
          <w:color w:val="191919"/>
          <w:vertAlign w:val="superscript"/>
        </w:rPr>
        <w:footnoteReference w:id="5"/>
      </w:r>
      <w:r w:rsidRPr="00BF3BA7">
        <w:rPr>
          <w:rFonts w:asciiTheme="majorHAnsi" w:eastAsia="Times New Roman" w:hAnsiTheme="majorHAnsi" w:cstheme="majorHAnsi"/>
          <w:color w:val="191919"/>
        </w:rPr>
        <w:t xml:space="preserve"> The longer they must wait to reacquire credential</w:t>
      </w:r>
      <w:r w:rsidR="00CA233C" w:rsidRPr="00BF3BA7">
        <w:rPr>
          <w:rFonts w:asciiTheme="majorHAnsi" w:eastAsia="Times New Roman" w:hAnsiTheme="majorHAnsi" w:cstheme="majorHAnsi"/>
          <w:color w:val="191919"/>
        </w:rPr>
        <w:t>s</w:t>
      </w:r>
      <w:r w:rsidR="00911C4E" w:rsidRPr="00BF3BA7">
        <w:rPr>
          <w:rFonts w:asciiTheme="majorHAnsi" w:eastAsia="Times New Roman" w:hAnsiTheme="majorHAnsi" w:cstheme="majorHAnsi"/>
          <w:color w:val="191919"/>
        </w:rPr>
        <w:t xml:space="preserve"> to</w:t>
      </w:r>
      <w:r w:rsidRPr="00BF3BA7">
        <w:rPr>
          <w:rFonts w:asciiTheme="majorHAnsi" w:eastAsia="Times New Roman" w:hAnsiTheme="majorHAnsi" w:cstheme="majorHAnsi"/>
          <w:color w:val="191919"/>
        </w:rPr>
        <w:t xml:space="preserve"> </w:t>
      </w:r>
      <w:r w:rsidR="00CA233C" w:rsidRPr="00BF3BA7">
        <w:rPr>
          <w:rFonts w:asciiTheme="majorHAnsi" w:eastAsia="Times New Roman" w:hAnsiTheme="majorHAnsi" w:cstheme="majorHAnsi"/>
          <w:color w:val="191919"/>
        </w:rPr>
        <w:t>secure a</w:t>
      </w:r>
      <w:r w:rsidRPr="00BF3BA7">
        <w:rPr>
          <w:rFonts w:asciiTheme="majorHAnsi" w:eastAsia="Times New Roman" w:hAnsiTheme="majorHAnsi" w:cstheme="majorHAnsi"/>
          <w:color w:val="191919"/>
        </w:rPr>
        <w:t xml:space="preserve"> job</w:t>
      </w:r>
      <w:r w:rsidR="00CA233C" w:rsidRPr="00BF3BA7">
        <w:rPr>
          <w:rFonts w:asciiTheme="majorHAnsi" w:eastAsia="Times New Roman" w:hAnsiTheme="majorHAnsi" w:cstheme="majorHAnsi"/>
          <w:color w:val="191919"/>
        </w:rPr>
        <w:t xml:space="preserve"> in their field of expertise</w:t>
      </w:r>
      <w:r w:rsidRPr="00BF3BA7">
        <w:rPr>
          <w:rFonts w:asciiTheme="majorHAnsi" w:eastAsia="Times New Roman" w:hAnsiTheme="majorHAnsi" w:cstheme="majorHAnsi"/>
          <w:color w:val="191919"/>
        </w:rPr>
        <w:t>, the more strain their family</w:t>
      </w:r>
      <w:r w:rsidR="008A4C87" w:rsidRPr="00BF3BA7">
        <w:rPr>
          <w:rFonts w:asciiTheme="majorHAnsi" w:eastAsia="Times New Roman" w:hAnsiTheme="majorHAnsi" w:cstheme="majorHAnsi"/>
          <w:color w:val="191919"/>
        </w:rPr>
        <w:t xml:space="preserve"> experiences</w:t>
      </w:r>
      <w:r w:rsidRPr="00BF3BA7">
        <w:rPr>
          <w:rFonts w:asciiTheme="majorHAnsi" w:eastAsia="Times New Roman" w:hAnsiTheme="majorHAnsi" w:cstheme="majorHAnsi"/>
          <w:color w:val="191919"/>
        </w:rPr>
        <w:t>. Furthermore, a majority of married service members list their spouse’s career prospects as a moderate or large factor in their decision to re</w:t>
      </w:r>
      <w:r w:rsidR="009764BF" w:rsidRPr="00BF3BA7">
        <w:rPr>
          <w:rFonts w:asciiTheme="majorHAnsi" w:eastAsia="Times New Roman" w:hAnsiTheme="majorHAnsi" w:cstheme="majorHAnsi"/>
          <w:color w:val="191919"/>
        </w:rPr>
        <w:t>-</w:t>
      </w:r>
      <w:r w:rsidRPr="00BF3BA7">
        <w:rPr>
          <w:rFonts w:asciiTheme="majorHAnsi" w:eastAsia="Times New Roman" w:hAnsiTheme="majorHAnsi" w:cstheme="majorHAnsi"/>
          <w:color w:val="191919"/>
        </w:rPr>
        <w:t>enlist.</w:t>
      </w:r>
      <w:r w:rsidRPr="00BF3BA7">
        <w:rPr>
          <w:rFonts w:asciiTheme="majorHAnsi" w:eastAsia="Times New Roman" w:hAnsiTheme="majorHAnsi" w:cstheme="majorHAnsi"/>
          <w:color w:val="191919"/>
          <w:vertAlign w:val="superscript"/>
        </w:rPr>
        <w:footnoteReference w:id="6"/>
      </w:r>
      <w:r w:rsidRPr="00BF3BA7">
        <w:rPr>
          <w:rFonts w:asciiTheme="majorHAnsi" w:eastAsia="Times New Roman" w:hAnsiTheme="majorHAnsi" w:cstheme="majorHAnsi"/>
          <w:color w:val="191919"/>
        </w:rPr>
        <w:t xml:space="preserve"> It is </w:t>
      </w:r>
      <w:r w:rsidR="008A4C87" w:rsidRPr="00BF3BA7">
        <w:rPr>
          <w:rFonts w:asciiTheme="majorHAnsi" w:eastAsia="Times New Roman" w:hAnsiTheme="majorHAnsi" w:cstheme="majorHAnsi"/>
          <w:color w:val="191919"/>
        </w:rPr>
        <w:t xml:space="preserve">therefore </w:t>
      </w:r>
      <w:r w:rsidRPr="00BF3BA7">
        <w:rPr>
          <w:rFonts w:asciiTheme="majorHAnsi" w:eastAsia="Times New Roman" w:hAnsiTheme="majorHAnsi" w:cstheme="majorHAnsi"/>
          <w:color w:val="191919"/>
        </w:rPr>
        <w:t xml:space="preserve">imperative to </w:t>
      </w:r>
      <w:r w:rsidR="009764BF" w:rsidRPr="00BF3BA7">
        <w:rPr>
          <w:rFonts w:asciiTheme="majorHAnsi" w:eastAsia="Times New Roman" w:hAnsiTheme="majorHAnsi" w:cstheme="majorHAnsi"/>
          <w:color w:val="191919"/>
        </w:rPr>
        <w:t>national</w:t>
      </w:r>
      <w:r w:rsidRPr="00BF3BA7">
        <w:rPr>
          <w:rFonts w:asciiTheme="majorHAnsi" w:eastAsia="Times New Roman" w:hAnsiTheme="majorHAnsi" w:cstheme="majorHAnsi"/>
          <w:color w:val="191919"/>
        </w:rPr>
        <w:t xml:space="preserve"> security that</w:t>
      </w:r>
      <w:r w:rsidR="009764BF" w:rsidRPr="00BF3BA7">
        <w:rPr>
          <w:rFonts w:asciiTheme="majorHAnsi" w:eastAsia="Times New Roman" w:hAnsiTheme="majorHAnsi" w:cstheme="majorHAnsi"/>
          <w:color w:val="191919"/>
        </w:rPr>
        <w:t xml:space="preserve"> our</w:t>
      </w:r>
      <w:r w:rsidRPr="00BF3BA7">
        <w:rPr>
          <w:rFonts w:asciiTheme="majorHAnsi" w:eastAsia="Times New Roman" w:hAnsiTheme="majorHAnsi" w:cstheme="majorHAnsi"/>
          <w:color w:val="191919"/>
        </w:rPr>
        <w:t xml:space="preserve"> laws </w:t>
      </w:r>
      <w:r w:rsidR="009764BF" w:rsidRPr="00BF3BA7">
        <w:rPr>
          <w:rFonts w:asciiTheme="majorHAnsi" w:eastAsia="Times New Roman" w:hAnsiTheme="majorHAnsi" w:cstheme="majorHAnsi"/>
          <w:color w:val="191919"/>
        </w:rPr>
        <w:t xml:space="preserve">not </w:t>
      </w:r>
      <w:r w:rsidRPr="00BF3BA7">
        <w:rPr>
          <w:rFonts w:asciiTheme="majorHAnsi" w:eastAsia="Times New Roman" w:hAnsiTheme="majorHAnsi" w:cstheme="majorHAnsi"/>
          <w:color w:val="191919"/>
        </w:rPr>
        <w:t>burden military families in this way.</w:t>
      </w:r>
    </w:p>
    <w:p w14:paraId="74B4A380" w14:textId="77777777" w:rsidR="00D64686" w:rsidRPr="00BF3BA7" w:rsidRDefault="00D64686" w:rsidP="002E6022">
      <w:pPr>
        <w:spacing w:line="240" w:lineRule="auto"/>
        <w:rPr>
          <w:rFonts w:asciiTheme="majorHAnsi" w:eastAsia="Times New Roman" w:hAnsiTheme="majorHAnsi" w:cstheme="majorHAnsi"/>
          <w:color w:val="191919"/>
        </w:rPr>
      </w:pPr>
    </w:p>
    <w:p w14:paraId="50F16840" w14:textId="5E7E93A8" w:rsidR="003761B6" w:rsidRDefault="00F2709E" w:rsidP="002E6022">
      <w:pPr>
        <w:spacing w:line="240" w:lineRule="auto"/>
        <w:rPr>
          <w:rFonts w:asciiTheme="majorHAnsi" w:eastAsia="Times New Roman" w:hAnsiTheme="majorHAnsi" w:cstheme="majorHAnsi"/>
          <w:color w:val="191919"/>
        </w:rPr>
      </w:pPr>
      <w:r w:rsidRPr="00BF3BA7">
        <w:rPr>
          <w:rFonts w:asciiTheme="majorHAnsi" w:eastAsia="Times New Roman" w:hAnsiTheme="majorHAnsi" w:cstheme="majorHAnsi"/>
          <w:color w:val="191919"/>
        </w:rPr>
        <w:t xml:space="preserve">Last year, Kentucky enrolled legislation </w:t>
      </w:r>
      <w:r w:rsidR="009764BF" w:rsidRPr="00BF3BA7">
        <w:rPr>
          <w:rFonts w:asciiTheme="majorHAnsi" w:eastAsia="Times New Roman" w:hAnsiTheme="majorHAnsi" w:cstheme="majorHAnsi"/>
          <w:color w:val="191919"/>
        </w:rPr>
        <w:t xml:space="preserve">that eased </w:t>
      </w:r>
      <w:r w:rsidRPr="00BF3BA7">
        <w:rPr>
          <w:rFonts w:asciiTheme="majorHAnsi" w:eastAsia="Times New Roman" w:hAnsiTheme="majorHAnsi" w:cstheme="majorHAnsi"/>
          <w:color w:val="191919"/>
        </w:rPr>
        <w:t>the licensing recognition process for military spouses who relocate to the Commonwealth.</w:t>
      </w:r>
      <w:r w:rsidRPr="00BF3BA7">
        <w:rPr>
          <w:rFonts w:asciiTheme="majorHAnsi" w:eastAsia="Times New Roman" w:hAnsiTheme="majorHAnsi" w:cstheme="majorHAnsi"/>
          <w:color w:val="191919"/>
          <w:vertAlign w:val="superscript"/>
        </w:rPr>
        <w:footnoteReference w:id="7"/>
      </w:r>
      <w:r w:rsidRPr="00D64686">
        <w:rPr>
          <w:rFonts w:asciiTheme="majorHAnsi" w:eastAsia="Times New Roman" w:hAnsiTheme="majorHAnsi" w:cstheme="majorHAnsi"/>
          <w:color w:val="191919"/>
        </w:rPr>
        <w:t xml:space="preserve"> </w:t>
      </w:r>
      <w:r w:rsidR="009764BF">
        <w:rPr>
          <w:rFonts w:asciiTheme="majorHAnsi" w:eastAsia="Times New Roman" w:hAnsiTheme="majorHAnsi" w:cstheme="majorHAnsi"/>
          <w:color w:val="191919"/>
        </w:rPr>
        <w:t xml:space="preserve">While </w:t>
      </w:r>
      <w:r w:rsidR="00F0662F">
        <w:rPr>
          <w:rFonts w:asciiTheme="majorHAnsi" w:eastAsia="Times New Roman" w:hAnsiTheme="majorHAnsi" w:cstheme="majorHAnsi"/>
          <w:color w:val="191919"/>
        </w:rPr>
        <w:t xml:space="preserve">HB 343 </w:t>
      </w:r>
      <w:r w:rsidR="009764BF">
        <w:rPr>
          <w:rFonts w:asciiTheme="majorHAnsi" w:eastAsia="Times New Roman" w:hAnsiTheme="majorHAnsi" w:cstheme="majorHAnsi"/>
          <w:color w:val="191919"/>
        </w:rPr>
        <w:t>legislation applies to civilians as well and</w:t>
      </w:r>
      <w:r w:rsidRPr="00D64686">
        <w:rPr>
          <w:rFonts w:asciiTheme="majorHAnsi" w:eastAsia="Times New Roman" w:hAnsiTheme="majorHAnsi" w:cstheme="majorHAnsi"/>
          <w:color w:val="191919"/>
        </w:rPr>
        <w:t xml:space="preserve"> does not require residency, it maintains many necessary safety protections. </w:t>
      </w:r>
      <w:r w:rsidR="009764BF">
        <w:rPr>
          <w:rFonts w:asciiTheme="majorHAnsi" w:eastAsia="Times New Roman" w:hAnsiTheme="majorHAnsi" w:cstheme="majorHAnsi"/>
          <w:color w:val="191919"/>
        </w:rPr>
        <w:t>For example, i</w:t>
      </w:r>
      <w:r w:rsidRPr="00D64686">
        <w:rPr>
          <w:rFonts w:asciiTheme="majorHAnsi" w:eastAsia="Times New Roman" w:hAnsiTheme="majorHAnsi" w:cstheme="majorHAnsi"/>
          <w:color w:val="191919"/>
        </w:rPr>
        <w:t xml:space="preserve">t requires </w:t>
      </w:r>
      <w:r w:rsidR="009764BF">
        <w:rPr>
          <w:rFonts w:asciiTheme="majorHAnsi" w:eastAsia="Times New Roman" w:hAnsiTheme="majorHAnsi" w:cstheme="majorHAnsi"/>
          <w:color w:val="191919"/>
        </w:rPr>
        <w:t xml:space="preserve">that </w:t>
      </w:r>
      <w:r w:rsidRPr="00D64686">
        <w:rPr>
          <w:rFonts w:asciiTheme="majorHAnsi" w:eastAsia="Times New Roman" w:hAnsiTheme="majorHAnsi" w:cstheme="majorHAnsi"/>
          <w:color w:val="191919"/>
        </w:rPr>
        <w:t xml:space="preserve">boards issue Kentucky licenses to individuals </w:t>
      </w:r>
      <w:r w:rsidR="008A4C87">
        <w:rPr>
          <w:rFonts w:asciiTheme="majorHAnsi" w:eastAsia="Times New Roman" w:hAnsiTheme="majorHAnsi" w:cstheme="majorHAnsi"/>
          <w:color w:val="191919"/>
        </w:rPr>
        <w:t>when</w:t>
      </w:r>
      <w:r w:rsidRPr="00D64686">
        <w:rPr>
          <w:rFonts w:asciiTheme="majorHAnsi" w:eastAsia="Times New Roman" w:hAnsiTheme="majorHAnsi" w:cstheme="majorHAnsi"/>
          <w:color w:val="191919"/>
        </w:rPr>
        <w:t xml:space="preserve"> the following standards are met:</w:t>
      </w:r>
    </w:p>
    <w:p w14:paraId="583937BD" w14:textId="77777777" w:rsidR="00D64686" w:rsidRPr="00D64686" w:rsidRDefault="00D64686" w:rsidP="002E6022">
      <w:pPr>
        <w:spacing w:line="240" w:lineRule="auto"/>
        <w:rPr>
          <w:rFonts w:asciiTheme="majorHAnsi" w:eastAsia="Times New Roman" w:hAnsiTheme="majorHAnsi" w:cstheme="majorHAnsi"/>
          <w:color w:val="191919"/>
        </w:rPr>
      </w:pPr>
    </w:p>
    <w:p w14:paraId="261C3B5B" w14:textId="77777777" w:rsidR="003761B6" w:rsidRPr="00D64686" w:rsidRDefault="00F2709E" w:rsidP="002E6022">
      <w:pPr>
        <w:numPr>
          <w:ilvl w:val="0"/>
          <w:numId w:val="1"/>
        </w:numPr>
        <w:spacing w:line="240" w:lineRule="auto"/>
        <w:rPr>
          <w:rFonts w:asciiTheme="majorHAnsi" w:hAnsiTheme="majorHAnsi" w:cstheme="majorHAnsi"/>
        </w:rPr>
      </w:pPr>
      <w:r w:rsidRPr="00D64686">
        <w:rPr>
          <w:rFonts w:asciiTheme="majorHAnsi" w:eastAsia="Times New Roman" w:hAnsiTheme="majorHAnsi" w:cstheme="majorHAnsi"/>
          <w:color w:val="191919"/>
        </w:rPr>
        <w:t>The person holds a valid license with a similar scope of practice in another jurisdiction.</w:t>
      </w:r>
    </w:p>
    <w:p w14:paraId="241DE8E7" w14:textId="77777777" w:rsidR="003761B6" w:rsidRPr="00D64686" w:rsidRDefault="00F2709E" w:rsidP="002E6022">
      <w:pPr>
        <w:numPr>
          <w:ilvl w:val="0"/>
          <w:numId w:val="1"/>
        </w:num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The person has held that license for at least one year.</w:t>
      </w:r>
    </w:p>
    <w:p w14:paraId="2A7CAD67" w14:textId="77777777" w:rsidR="003761B6" w:rsidRPr="00D64686" w:rsidRDefault="00F2709E" w:rsidP="002E6022">
      <w:pPr>
        <w:numPr>
          <w:ilvl w:val="0"/>
          <w:numId w:val="1"/>
        </w:num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The license they hold is in good standing.</w:t>
      </w:r>
    </w:p>
    <w:p w14:paraId="0C1506D6" w14:textId="77777777" w:rsidR="003761B6" w:rsidRPr="00D64686" w:rsidRDefault="00F2709E" w:rsidP="002E6022">
      <w:pPr>
        <w:numPr>
          <w:ilvl w:val="0"/>
          <w:numId w:val="1"/>
        </w:num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The person does not have a criminal record that would disqualify them from holding the license.</w:t>
      </w:r>
    </w:p>
    <w:p w14:paraId="1DB3FEFC" w14:textId="7A88AA3C" w:rsidR="003761B6" w:rsidRPr="00D64686" w:rsidRDefault="00F2709E" w:rsidP="002E6022">
      <w:pPr>
        <w:numPr>
          <w:ilvl w:val="0"/>
          <w:numId w:val="1"/>
        </w:num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Their license has</w:t>
      </w:r>
      <w:r w:rsidR="009764BF">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n</w:t>
      </w:r>
      <w:r w:rsidR="009764BF">
        <w:rPr>
          <w:rFonts w:asciiTheme="majorHAnsi" w:eastAsia="Times New Roman" w:hAnsiTheme="majorHAnsi" w:cstheme="majorHAnsi"/>
          <w:color w:val="191919"/>
        </w:rPr>
        <w:t>o</w:t>
      </w:r>
      <w:r w:rsidRPr="00D64686">
        <w:rPr>
          <w:rFonts w:asciiTheme="majorHAnsi" w:eastAsia="Times New Roman" w:hAnsiTheme="majorHAnsi" w:cstheme="majorHAnsi"/>
          <w:color w:val="191919"/>
        </w:rPr>
        <w:t>t been revoked due to negligence or misconduct in their work.</w:t>
      </w:r>
    </w:p>
    <w:p w14:paraId="1D49C8B7" w14:textId="52865909" w:rsidR="003761B6" w:rsidRPr="00D64686" w:rsidRDefault="00F2709E" w:rsidP="002E6022">
      <w:pPr>
        <w:numPr>
          <w:ilvl w:val="0"/>
          <w:numId w:val="1"/>
        </w:numPr>
        <w:spacing w:line="240" w:lineRule="auto"/>
        <w:rPr>
          <w:rFonts w:asciiTheme="majorHAnsi" w:hAnsiTheme="majorHAnsi" w:cstheme="majorHAnsi"/>
        </w:rPr>
      </w:pPr>
      <w:r w:rsidRPr="00D64686">
        <w:rPr>
          <w:rFonts w:asciiTheme="majorHAnsi" w:eastAsia="Times New Roman" w:hAnsiTheme="majorHAnsi" w:cstheme="majorHAnsi"/>
          <w:color w:val="191919"/>
        </w:rPr>
        <w:t>The person does not have a complaint pending before a board in another jurisdiction</w:t>
      </w:r>
      <w:r w:rsidR="008A4C87">
        <w:rPr>
          <w:rFonts w:asciiTheme="majorHAnsi" w:eastAsia="Times New Roman" w:hAnsiTheme="majorHAnsi" w:cstheme="majorHAnsi"/>
          <w:color w:val="191919"/>
        </w:rPr>
        <w:t xml:space="preserve"> that</w:t>
      </w:r>
      <w:r w:rsidRPr="00D64686">
        <w:rPr>
          <w:rFonts w:asciiTheme="majorHAnsi" w:eastAsia="Times New Roman" w:hAnsiTheme="majorHAnsi" w:cstheme="majorHAnsi"/>
          <w:color w:val="191919"/>
        </w:rPr>
        <w:t xml:space="preserve"> “relates to unprofessional conduct or an alleged crime.” </w:t>
      </w:r>
    </w:p>
    <w:p w14:paraId="32A5CCAE" w14:textId="77777777" w:rsidR="003761B6" w:rsidRPr="00D64686" w:rsidRDefault="00F2709E" w:rsidP="002E6022">
      <w:pPr>
        <w:numPr>
          <w:ilvl w:val="0"/>
          <w:numId w:val="1"/>
        </w:num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The person pays all requisite fees.</w:t>
      </w:r>
    </w:p>
    <w:p w14:paraId="1DA9EB88" w14:textId="77777777" w:rsidR="003761B6" w:rsidRPr="00D64686" w:rsidRDefault="003761B6" w:rsidP="002E6022">
      <w:pPr>
        <w:spacing w:line="240" w:lineRule="auto"/>
        <w:rPr>
          <w:rFonts w:asciiTheme="majorHAnsi" w:eastAsia="Times New Roman" w:hAnsiTheme="majorHAnsi" w:cstheme="majorHAnsi"/>
          <w:color w:val="191919"/>
        </w:rPr>
      </w:pPr>
    </w:p>
    <w:p w14:paraId="1ABD7C5A" w14:textId="5885EC4E" w:rsidR="003761B6"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 xml:space="preserve">HB 343 would also allow professionals who have practiced in other jurisdictions </w:t>
      </w:r>
      <w:r w:rsidR="009764BF">
        <w:rPr>
          <w:rFonts w:asciiTheme="majorHAnsi" w:eastAsia="Times New Roman" w:hAnsiTheme="majorHAnsi" w:cstheme="majorHAnsi"/>
          <w:color w:val="191919"/>
        </w:rPr>
        <w:t>that</w:t>
      </w:r>
      <w:r w:rsidR="009764BF" w:rsidRPr="00D6468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 xml:space="preserve">do not license the relevant profession to receive a license in Kentucky </w:t>
      </w:r>
      <w:r w:rsidR="009764BF">
        <w:rPr>
          <w:rFonts w:asciiTheme="majorHAnsi" w:eastAsia="Times New Roman" w:hAnsiTheme="majorHAnsi" w:cstheme="majorHAnsi"/>
          <w:color w:val="191919"/>
        </w:rPr>
        <w:t>as long as</w:t>
      </w:r>
      <w:r w:rsidRPr="00D64686">
        <w:rPr>
          <w:rFonts w:asciiTheme="majorHAnsi" w:eastAsia="Times New Roman" w:hAnsiTheme="majorHAnsi" w:cstheme="majorHAnsi"/>
          <w:color w:val="191919"/>
        </w:rPr>
        <w:t xml:space="preserve"> the</w:t>
      </w:r>
      <w:r w:rsidR="009764BF">
        <w:rPr>
          <w:rFonts w:asciiTheme="majorHAnsi" w:eastAsia="Times New Roman" w:hAnsiTheme="majorHAnsi" w:cstheme="majorHAnsi"/>
          <w:color w:val="191919"/>
        </w:rPr>
        <w:t>y</w:t>
      </w:r>
      <w:r w:rsidRPr="00D64686">
        <w:rPr>
          <w:rFonts w:asciiTheme="majorHAnsi" w:eastAsia="Times New Roman" w:hAnsiTheme="majorHAnsi" w:cstheme="majorHAnsi"/>
          <w:color w:val="191919"/>
        </w:rPr>
        <w:t xml:space="preserve"> ha</w:t>
      </w:r>
      <w:r w:rsidR="009764BF">
        <w:rPr>
          <w:rFonts w:asciiTheme="majorHAnsi" w:eastAsia="Times New Roman" w:hAnsiTheme="majorHAnsi" w:cstheme="majorHAnsi"/>
          <w:color w:val="191919"/>
        </w:rPr>
        <w:t>ve</w:t>
      </w:r>
      <w:r w:rsidRPr="00D64686">
        <w:rPr>
          <w:rFonts w:asciiTheme="majorHAnsi" w:eastAsia="Times New Roman" w:hAnsiTheme="majorHAnsi" w:cstheme="majorHAnsi"/>
          <w:color w:val="191919"/>
        </w:rPr>
        <w:t xml:space="preserve"> practiced for three years. They may also need to pass a jurisprudence exam. The law would also ensure that applicants receive their decision within </w:t>
      </w:r>
      <w:r w:rsidR="009764BF">
        <w:rPr>
          <w:rFonts w:asciiTheme="majorHAnsi" w:eastAsia="Times New Roman" w:hAnsiTheme="majorHAnsi" w:cstheme="majorHAnsi"/>
          <w:color w:val="191919"/>
        </w:rPr>
        <w:t>30</w:t>
      </w:r>
      <w:r w:rsidR="009764BF" w:rsidRPr="00D6468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 xml:space="preserve">days and allow them to appeal the decision. </w:t>
      </w:r>
    </w:p>
    <w:p w14:paraId="72584828" w14:textId="77777777" w:rsidR="00D64686" w:rsidRPr="00D64686" w:rsidRDefault="00D64686" w:rsidP="002E6022">
      <w:pPr>
        <w:spacing w:line="240" w:lineRule="auto"/>
        <w:rPr>
          <w:rFonts w:asciiTheme="majorHAnsi" w:eastAsia="Times New Roman" w:hAnsiTheme="majorHAnsi" w:cstheme="majorHAnsi"/>
          <w:color w:val="191919"/>
        </w:rPr>
      </w:pPr>
    </w:p>
    <w:p w14:paraId="3FD520F7" w14:textId="62D7ED7F" w:rsidR="003761B6"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Finally, HB 343 grants the governor certain emergency powers to expand professional scope of practice and authorize professionals to work in the state during emergenc</w:t>
      </w:r>
      <w:r w:rsidR="00AA4EBE">
        <w:rPr>
          <w:rFonts w:asciiTheme="majorHAnsi" w:eastAsia="Times New Roman" w:hAnsiTheme="majorHAnsi" w:cstheme="majorHAnsi"/>
          <w:color w:val="191919"/>
        </w:rPr>
        <w:t>ies</w:t>
      </w:r>
      <w:r w:rsidRPr="00D64686">
        <w:rPr>
          <w:rFonts w:asciiTheme="majorHAnsi" w:eastAsia="Times New Roman" w:hAnsiTheme="majorHAnsi" w:cstheme="majorHAnsi"/>
          <w:color w:val="191919"/>
        </w:rPr>
        <w:t xml:space="preserve">. This provision is particularly wise in light of the recent </w:t>
      </w:r>
      <w:r w:rsidR="00F110C6" w:rsidRPr="00D64686">
        <w:rPr>
          <w:rFonts w:asciiTheme="majorHAnsi" w:eastAsia="Times New Roman" w:hAnsiTheme="majorHAnsi" w:cstheme="majorHAnsi"/>
          <w:color w:val="191919"/>
        </w:rPr>
        <w:t>C</w:t>
      </w:r>
      <w:r w:rsidR="00F110C6">
        <w:rPr>
          <w:rFonts w:asciiTheme="majorHAnsi" w:eastAsia="Times New Roman" w:hAnsiTheme="majorHAnsi" w:cstheme="majorHAnsi"/>
          <w:color w:val="191919"/>
        </w:rPr>
        <w:t>OVI</w:t>
      </w:r>
      <w:r w:rsidR="00AA4EBE">
        <w:rPr>
          <w:rFonts w:asciiTheme="majorHAnsi" w:eastAsia="Times New Roman" w:hAnsiTheme="majorHAnsi" w:cstheme="majorHAnsi"/>
          <w:color w:val="191919"/>
        </w:rPr>
        <w:t>D</w:t>
      </w:r>
      <w:r w:rsidRPr="00D64686">
        <w:rPr>
          <w:rFonts w:asciiTheme="majorHAnsi" w:eastAsia="Times New Roman" w:hAnsiTheme="majorHAnsi" w:cstheme="majorHAnsi"/>
          <w:color w:val="191919"/>
        </w:rPr>
        <w:t>-19 pandemic</w:t>
      </w:r>
      <w:r w:rsidR="00F110C6">
        <w:rPr>
          <w:rFonts w:asciiTheme="majorHAnsi" w:eastAsia="Times New Roman" w:hAnsiTheme="majorHAnsi" w:cstheme="majorHAnsi"/>
          <w:color w:val="191919"/>
        </w:rPr>
        <w:t>,</w:t>
      </w:r>
      <w:r w:rsidRPr="00D64686">
        <w:rPr>
          <w:rFonts w:asciiTheme="majorHAnsi" w:eastAsia="Times New Roman" w:hAnsiTheme="majorHAnsi" w:cstheme="majorHAnsi"/>
          <w:color w:val="191919"/>
        </w:rPr>
        <w:t xml:space="preserve"> in which various medical professionals needed to work in different states to serve residents. But in other kinds of emergencies</w:t>
      </w:r>
      <w:r w:rsidR="00F110C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from floods to tornadoes</w:t>
      </w:r>
      <w:r w:rsidR="00F110C6">
        <w:rPr>
          <w:rFonts w:asciiTheme="majorHAnsi" w:eastAsia="Times New Roman" w:hAnsiTheme="majorHAnsi" w:cstheme="majorHAnsi"/>
          <w:color w:val="191919"/>
        </w:rPr>
        <w:t>, the availability of</w:t>
      </w:r>
      <w:r w:rsidR="00F110C6" w:rsidRPr="00D64686">
        <w:rPr>
          <w:rFonts w:asciiTheme="majorHAnsi" w:eastAsia="Times New Roman" w:hAnsiTheme="majorHAnsi" w:cstheme="majorHAnsi"/>
          <w:color w:val="191919"/>
        </w:rPr>
        <w:t xml:space="preserve"> </w:t>
      </w:r>
      <w:r w:rsidR="00F110C6">
        <w:rPr>
          <w:rFonts w:asciiTheme="majorHAnsi" w:eastAsia="Times New Roman" w:hAnsiTheme="majorHAnsi" w:cstheme="majorHAnsi"/>
          <w:color w:val="191919"/>
        </w:rPr>
        <w:t xml:space="preserve">more licensed </w:t>
      </w:r>
      <w:r w:rsidRPr="00D64686">
        <w:rPr>
          <w:rFonts w:asciiTheme="majorHAnsi" w:eastAsia="Times New Roman" w:hAnsiTheme="majorHAnsi" w:cstheme="majorHAnsi"/>
          <w:color w:val="191919"/>
        </w:rPr>
        <w:t xml:space="preserve">plumbers, electricians, contractors and </w:t>
      </w:r>
      <w:r w:rsidR="00F110C6">
        <w:rPr>
          <w:rFonts w:asciiTheme="majorHAnsi" w:eastAsia="Times New Roman" w:hAnsiTheme="majorHAnsi" w:cstheme="majorHAnsi"/>
          <w:color w:val="191919"/>
        </w:rPr>
        <w:t xml:space="preserve">others </w:t>
      </w:r>
      <w:r w:rsidR="00AA4EBE">
        <w:rPr>
          <w:rFonts w:asciiTheme="majorHAnsi" w:eastAsia="Times New Roman" w:hAnsiTheme="majorHAnsi" w:cstheme="majorHAnsi"/>
          <w:color w:val="191919"/>
        </w:rPr>
        <w:t>would</w:t>
      </w:r>
      <w:r w:rsidRPr="00D64686">
        <w:rPr>
          <w:rFonts w:asciiTheme="majorHAnsi" w:eastAsia="Times New Roman" w:hAnsiTheme="majorHAnsi" w:cstheme="majorHAnsi"/>
          <w:color w:val="191919"/>
        </w:rPr>
        <w:t xml:space="preserve"> improve the state’s safety and ability to recover from disaster.</w:t>
      </w:r>
    </w:p>
    <w:p w14:paraId="6E5E7613" w14:textId="77777777" w:rsidR="00D64686" w:rsidRPr="00D64686" w:rsidRDefault="00D64686" w:rsidP="002E6022">
      <w:pPr>
        <w:spacing w:line="240" w:lineRule="auto"/>
        <w:rPr>
          <w:rFonts w:asciiTheme="majorHAnsi" w:eastAsia="Times New Roman" w:hAnsiTheme="majorHAnsi" w:cstheme="majorHAnsi"/>
          <w:color w:val="191919"/>
        </w:rPr>
      </w:pPr>
    </w:p>
    <w:p w14:paraId="38E4A8A5" w14:textId="4B678C4F" w:rsidR="003761B6"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lastRenderedPageBreak/>
        <w:t xml:space="preserve">As you consider HB 343, we encourage you to </w:t>
      </w:r>
      <w:r w:rsidR="00F110C6">
        <w:rPr>
          <w:rFonts w:asciiTheme="majorHAnsi" w:eastAsia="Times New Roman" w:hAnsiTheme="majorHAnsi" w:cstheme="majorHAnsi"/>
          <w:color w:val="191919"/>
        </w:rPr>
        <w:t>think about</w:t>
      </w:r>
      <w:r w:rsidR="00F110C6" w:rsidRPr="00D6468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 xml:space="preserve">the benefits this legislation </w:t>
      </w:r>
      <w:r w:rsidR="00AA4EBE">
        <w:rPr>
          <w:rFonts w:asciiTheme="majorHAnsi" w:eastAsia="Times New Roman" w:hAnsiTheme="majorHAnsi" w:cstheme="majorHAnsi"/>
          <w:color w:val="191919"/>
        </w:rPr>
        <w:t>would</w:t>
      </w:r>
      <w:r w:rsidR="00AA4EBE" w:rsidRPr="00D6468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 xml:space="preserve">provide the Commonwealth of Kentucky. Not only </w:t>
      </w:r>
      <w:r w:rsidR="00AA4EBE">
        <w:rPr>
          <w:rFonts w:asciiTheme="majorHAnsi" w:eastAsia="Times New Roman" w:hAnsiTheme="majorHAnsi" w:cstheme="majorHAnsi"/>
          <w:color w:val="191919"/>
        </w:rPr>
        <w:t>would</w:t>
      </w:r>
      <w:r w:rsidR="00AA4EBE" w:rsidRPr="00D64686">
        <w:rPr>
          <w:rFonts w:asciiTheme="majorHAnsi" w:eastAsia="Times New Roman" w:hAnsiTheme="majorHAnsi" w:cstheme="majorHAnsi"/>
          <w:color w:val="191919"/>
        </w:rPr>
        <w:t xml:space="preserve"> </w:t>
      </w:r>
      <w:r w:rsidR="00F110C6" w:rsidRPr="00D64686">
        <w:rPr>
          <w:rFonts w:asciiTheme="majorHAnsi" w:eastAsia="Times New Roman" w:hAnsiTheme="majorHAnsi" w:cstheme="majorHAnsi"/>
          <w:color w:val="191919"/>
        </w:rPr>
        <w:t>th</w:t>
      </w:r>
      <w:r w:rsidR="00F110C6">
        <w:rPr>
          <w:rFonts w:asciiTheme="majorHAnsi" w:eastAsia="Times New Roman" w:hAnsiTheme="majorHAnsi" w:cstheme="majorHAnsi"/>
          <w:color w:val="191919"/>
        </w:rPr>
        <w:t>e</w:t>
      </w:r>
      <w:r w:rsidR="00F110C6" w:rsidRPr="00D6468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 xml:space="preserve">bill encourage people to move to Kentucky, it </w:t>
      </w:r>
      <w:r w:rsidR="00AA4EBE">
        <w:rPr>
          <w:rFonts w:asciiTheme="majorHAnsi" w:eastAsia="Times New Roman" w:hAnsiTheme="majorHAnsi" w:cstheme="majorHAnsi"/>
          <w:color w:val="191919"/>
        </w:rPr>
        <w:t>would</w:t>
      </w:r>
      <w:r w:rsidR="00AA4EBE" w:rsidRPr="00D6468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 xml:space="preserve">also enable </w:t>
      </w:r>
      <w:r w:rsidR="00F110C6">
        <w:rPr>
          <w:rFonts w:asciiTheme="majorHAnsi" w:eastAsia="Times New Roman" w:hAnsiTheme="majorHAnsi" w:cstheme="majorHAnsi"/>
          <w:color w:val="191919"/>
        </w:rPr>
        <w:t>current</w:t>
      </w:r>
      <w:r w:rsidR="00F110C6" w:rsidRPr="00D64686">
        <w:rPr>
          <w:rFonts w:asciiTheme="majorHAnsi" w:eastAsia="Times New Roman" w:hAnsiTheme="majorHAnsi" w:cstheme="majorHAnsi"/>
          <w:color w:val="191919"/>
        </w:rPr>
        <w:t xml:space="preserve"> </w:t>
      </w:r>
      <w:r w:rsidRPr="00D64686">
        <w:rPr>
          <w:rFonts w:asciiTheme="majorHAnsi" w:eastAsia="Times New Roman" w:hAnsiTheme="majorHAnsi" w:cstheme="majorHAnsi"/>
          <w:color w:val="191919"/>
        </w:rPr>
        <w:t xml:space="preserve">residents to get back to the work they know best, expand service options for consumers and ease emergency recovery. </w:t>
      </w:r>
    </w:p>
    <w:p w14:paraId="37269197" w14:textId="77777777" w:rsidR="00D64686" w:rsidRPr="00D64686" w:rsidRDefault="00D64686" w:rsidP="002E6022">
      <w:pPr>
        <w:spacing w:line="240" w:lineRule="auto"/>
        <w:rPr>
          <w:rFonts w:asciiTheme="majorHAnsi" w:eastAsia="Times New Roman" w:hAnsiTheme="majorHAnsi" w:cstheme="majorHAnsi"/>
          <w:color w:val="191919"/>
        </w:rPr>
      </w:pPr>
    </w:p>
    <w:p w14:paraId="5DAC2AEA" w14:textId="77777777" w:rsidR="003761B6" w:rsidRPr="00D64686"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 xml:space="preserve">Thank you very much for your time, </w:t>
      </w:r>
    </w:p>
    <w:p w14:paraId="30F743C7" w14:textId="77777777" w:rsidR="003761B6" w:rsidRPr="00D64686" w:rsidRDefault="003761B6" w:rsidP="002E6022">
      <w:pPr>
        <w:spacing w:line="240" w:lineRule="auto"/>
        <w:rPr>
          <w:rFonts w:asciiTheme="majorHAnsi" w:eastAsia="Times New Roman" w:hAnsiTheme="majorHAnsi" w:cstheme="majorHAnsi"/>
          <w:color w:val="191919"/>
        </w:rPr>
      </w:pPr>
    </w:p>
    <w:p w14:paraId="18EFEAEF" w14:textId="77777777" w:rsidR="003761B6" w:rsidRPr="00D64686"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 xml:space="preserve">Shoshana </w:t>
      </w:r>
      <w:proofErr w:type="spellStart"/>
      <w:r w:rsidRPr="00D64686">
        <w:rPr>
          <w:rFonts w:asciiTheme="majorHAnsi" w:eastAsia="Times New Roman" w:hAnsiTheme="majorHAnsi" w:cstheme="majorHAnsi"/>
          <w:color w:val="191919"/>
        </w:rPr>
        <w:t>Weissmann</w:t>
      </w:r>
      <w:proofErr w:type="spellEnd"/>
    </w:p>
    <w:p w14:paraId="47148ACC" w14:textId="77777777" w:rsidR="003761B6" w:rsidRPr="00D64686"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Fellow</w:t>
      </w:r>
    </w:p>
    <w:p w14:paraId="7A1D81E2" w14:textId="60BA4D93" w:rsidR="003761B6"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 xml:space="preserve">R Street Institute </w:t>
      </w:r>
    </w:p>
    <w:p w14:paraId="663EE6E7" w14:textId="0D95005E" w:rsidR="00F0662F" w:rsidRPr="00D64686" w:rsidRDefault="005E030F" w:rsidP="002E6022">
      <w:pPr>
        <w:spacing w:line="240" w:lineRule="auto"/>
        <w:rPr>
          <w:rFonts w:asciiTheme="majorHAnsi" w:eastAsia="Times New Roman" w:hAnsiTheme="majorHAnsi" w:cstheme="majorHAnsi"/>
          <w:color w:val="191919"/>
        </w:rPr>
      </w:pPr>
      <w:r>
        <w:rPr>
          <w:rFonts w:asciiTheme="majorHAnsi" w:eastAsia="Times New Roman" w:hAnsiTheme="majorHAnsi" w:cstheme="majorHAnsi"/>
          <w:color w:val="191919"/>
        </w:rPr>
        <w:t>202-</w:t>
      </w:r>
      <w:r w:rsidR="00F0662F" w:rsidRPr="00F0662F">
        <w:rPr>
          <w:rFonts w:asciiTheme="majorHAnsi" w:eastAsia="Times New Roman" w:hAnsiTheme="majorHAnsi" w:cstheme="majorHAnsi"/>
          <w:color w:val="191919"/>
        </w:rPr>
        <w:t>525-5717</w:t>
      </w:r>
    </w:p>
    <w:p w14:paraId="590CA9C5" w14:textId="77777777" w:rsidR="003761B6" w:rsidRPr="00D64686" w:rsidRDefault="00F2709E" w:rsidP="002E6022">
      <w:pPr>
        <w:spacing w:line="240" w:lineRule="auto"/>
        <w:rPr>
          <w:rFonts w:asciiTheme="majorHAnsi" w:eastAsia="Times New Roman" w:hAnsiTheme="majorHAnsi" w:cstheme="majorHAnsi"/>
          <w:color w:val="191919"/>
        </w:rPr>
      </w:pPr>
      <w:r w:rsidRPr="00D64686">
        <w:rPr>
          <w:rFonts w:asciiTheme="majorHAnsi" w:eastAsia="Times New Roman" w:hAnsiTheme="majorHAnsi" w:cstheme="majorHAnsi"/>
          <w:color w:val="191919"/>
        </w:rPr>
        <w:t>sweissmann@rstreet.org</w:t>
      </w:r>
    </w:p>
    <w:p w14:paraId="55D9CF58" w14:textId="77777777" w:rsidR="003761B6" w:rsidRPr="00D64686" w:rsidRDefault="003761B6" w:rsidP="002E6022">
      <w:pPr>
        <w:spacing w:line="240" w:lineRule="auto"/>
        <w:rPr>
          <w:rFonts w:asciiTheme="majorHAnsi" w:hAnsiTheme="majorHAnsi" w:cstheme="majorHAnsi"/>
        </w:rPr>
      </w:pPr>
      <w:bookmarkStart w:id="0" w:name="_GoBack"/>
      <w:bookmarkEnd w:id="0"/>
    </w:p>
    <w:sectPr w:rsidR="003761B6" w:rsidRPr="00D64686">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CA288" w16cid:durableId="2833F355"/>
  <w16cid:commentId w16cid:paraId="5094609E" w16cid:durableId="2833EB5D"/>
  <w16cid:commentId w16cid:paraId="20249822" w16cid:durableId="2833FC1F"/>
  <w16cid:commentId w16cid:paraId="570853AA" w16cid:durableId="2833FB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D694A" w14:textId="77777777" w:rsidR="001B2736" w:rsidRDefault="001B2736">
      <w:pPr>
        <w:spacing w:line="240" w:lineRule="auto"/>
      </w:pPr>
      <w:r>
        <w:separator/>
      </w:r>
    </w:p>
  </w:endnote>
  <w:endnote w:type="continuationSeparator" w:id="0">
    <w:p w14:paraId="516E2698" w14:textId="77777777" w:rsidR="001B2736" w:rsidRDefault="001B2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49FC0" w14:textId="77777777" w:rsidR="001B2736" w:rsidRDefault="001B2736">
      <w:pPr>
        <w:spacing w:line="240" w:lineRule="auto"/>
      </w:pPr>
      <w:r>
        <w:separator/>
      </w:r>
    </w:p>
  </w:footnote>
  <w:footnote w:type="continuationSeparator" w:id="0">
    <w:p w14:paraId="5A8FAD01" w14:textId="77777777" w:rsidR="001B2736" w:rsidRDefault="001B2736">
      <w:pPr>
        <w:spacing w:line="240" w:lineRule="auto"/>
      </w:pPr>
      <w:r>
        <w:continuationSeparator/>
      </w:r>
    </w:p>
  </w:footnote>
  <w:footnote w:id="1">
    <w:p w14:paraId="105C4973" w14:textId="651F196A" w:rsidR="003761B6" w:rsidRPr="00D64686" w:rsidRDefault="00F2709E">
      <w:pPr>
        <w:spacing w:line="240" w:lineRule="auto"/>
        <w:rPr>
          <w:rFonts w:asciiTheme="majorHAnsi" w:eastAsia="Times New Roman" w:hAnsiTheme="majorHAnsi" w:cstheme="majorHAnsi"/>
          <w:sz w:val="20"/>
          <w:szCs w:val="20"/>
        </w:rPr>
      </w:pPr>
      <w:r w:rsidRPr="00D64686">
        <w:rPr>
          <w:rFonts w:asciiTheme="majorHAnsi" w:hAnsiTheme="majorHAnsi" w:cstheme="majorHAnsi"/>
          <w:sz w:val="20"/>
          <w:szCs w:val="20"/>
          <w:vertAlign w:val="superscript"/>
        </w:rPr>
        <w:footnoteRef/>
      </w:r>
      <w:r w:rsidRPr="00D64686">
        <w:rPr>
          <w:rFonts w:asciiTheme="majorHAnsi" w:eastAsia="Times New Roman" w:hAnsiTheme="majorHAnsi" w:cstheme="majorHAnsi"/>
          <w:sz w:val="20"/>
          <w:szCs w:val="20"/>
        </w:rPr>
        <w:t xml:space="preserve"> </w:t>
      </w:r>
      <w:r w:rsidR="00C56B6C">
        <w:rPr>
          <w:rFonts w:asciiTheme="majorHAnsi" w:eastAsia="Times New Roman" w:hAnsiTheme="majorHAnsi" w:cstheme="majorHAnsi"/>
          <w:sz w:val="20"/>
          <w:szCs w:val="20"/>
        </w:rPr>
        <w:t xml:space="preserve">Tyler </w:t>
      </w:r>
      <w:proofErr w:type="spellStart"/>
      <w:r w:rsidRPr="00D64686">
        <w:rPr>
          <w:rFonts w:asciiTheme="majorHAnsi" w:eastAsia="Times New Roman" w:hAnsiTheme="majorHAnsi" w:cstheme="majorHAnsi"/>
          <w:sz w:val="20"/>
          <w:szCs w:val="20"/>
        </w:rPr>
        <w:t>Boesch</w:t>
      </w:r>
      <w:proofErr w:type="spellEnd"/>
      <w:r w:rsidRPr="00D64686">
        <w:rPr>
          <w:rFonts w:asciiTheme="majorHAnsi" w:eastAsia="Times New Roman" w:hAnsiTheme="majorHAnsi" w:cstheme="majorHAnsi"/>
          <w:sz w:val="20"/>
          <w:szCs w:val="20"/>
        </w:rPr>
        <w:t xml:space="preserve"> </w:t>
      </w:r>
      <w:r w:rsidR="00C56B6C">
        <w:rPr>
          <w:rFonts w:asciiTheme="majorHAnsi" w:eastAsia="Times New Roman" w:hAnsiTheme="majorHAnsi" w:cstheme="majorHAnsi"/>
          <w:sz w:val="20"/>
          <w:szCs w:val="20"/>
        </w:rPr>
        <w:t>et al.,</w:t>
      </w:r>
      <w:r w:rsidRPr="00D64686">
        <w:rPr>
          <w:rFonts w:asciiTheme="majorHAnsi" w:eastAsia="Times New Roman" w:hAnsiTheme="majorHAnsi" w:cstheme="majorHAnsi"/>
          <w:sz w:val="20"/>
          <w:szCs w:val="20"/>
        </w:rPr>
        <w:t xml:space="preserve"> </w:t>
      </w:r>
      <w:r w:rsidR="00C56B6C" w:rsidRPr="00C56B6C">
        <w:rPr>
          <w:rFonts w:asciiTheme="majorHAnsi" w:eastAsia="Times New Roman" w:hAnsiTheme="majorHAnsi" w:cstheme="majorHAnsi"/>
          <w:sz w:val="20"/>
          <w:szCs w:val="20"/>
        </w:rPr>
        <w:t>“</w:t>
      </w:r>
      <w:r w:rsidRPr="00CB7F8D">
        <w:rPr>
          <w:rFonts w:asciiTheme="majorHAnsi" w:eastAsia="Times New Roman" w:hAnsiTheme="majorHAnsi" w:cstheme="majorHAnsi"/>
          <w:sz w:val="20"/>
          <w:szCs w:val="20"/>
        </w:rPr>
        <w:t>How occupational licensing limits access to jobs among workers of color</w:t>
      </w:r>
      <w:r w:rsidR="00C56B6C" w:rsidRPr="00C56B6C">
        <w:rPr>
          <w:rFonts w:asciiTheme="majorHAnsi" w:eastAsia="Times New Roman" w:hAnsiTheme="majorHAnsi" w:cstheme="majorHAnsi"/>
          <w:sz w:val="20"/>
          <w:szCs w:val="20"/>
        </w:rPr>
        <w:t>,”</w:t>
      </w:r>
      <w:r w:rsidRPr="00C56B6C">
        <w:rPr>
          <w:rFonts w:asciiTheme="majorHAnsi" w:eastAsia="Times New Roman" w:hAnsiTheme="majorHAnsi" w:cstheme="majorHAnsi"/>
          <w:sz w:val="20"/>
          <w:szCs w:val="20"/>
        </w:rPr>
        <w:t xml:space="preserve"> </w:t>
      </w:r>
      <w:r w:rsidRPr="00D64686">
        <w:rPr>
          <w:rFonts w:asciiTheme="majorHAnsi" w:eastAsia="Times New Roman" w:hAnsiTheme="majorHAnsi" w:cstheme="majorHAnsi"/>
          <w:sz w:val="20"/>
          <w:szCs w:val="20"/>
        </w:rPr>
        <w:t>Federal Reserve Bank of Minneapolis</w:t>
      </w:r>
      <w:r w:rsidR="00C56B6C">
        <w:rPr>
          <w:rFonts w:asciiTheme="majorHAnsi" w:eastAsia="Times New Roman" w:hAnsiTheme="majorHAnsi" w:cstheme="majorHAnsi"/>
          <w:sz w:val="20"/>
          <w:szCs w:val="20"/>
        </w:rPr>
        <w:t>,</w:t>
      </w:r>
      <w:r w:rsidRPr="00D64686">
        <w:rPr>
          <w:rFonts w:asciiTheme="majorHAnsi" w:eastAsia="Times New Roman" w:hAnsiTheme="majorHAnsi" w:cstheme="majorHAnsi"/>
          <w:sz w:val="20"/>
          <w:szCs w:val="20"/>
        </w:rPr>
        <w:t xml:space="preserve"> </w:t>
      </w:r>
      <w:r w:rsidR="00C56B6C" w:rsidRPr="00D64686">
        <w:rPr>
          <w:rFonts w:asciiTheme="majorHAnsi" w:eastAsia="Times New Roman" w:hAnsiTheme="majorHAnsi" w:cstheme="majorHAnsi"/>
          <w:sz w:val="20"/>
          <w:szCs w:val="20"/>
        </w:rPr>
        <w:t>March 11</w:t>
      </w:r>
      <w:r w:rsidR="00C56B6C">
        <w:rPr>
          <w:rFonts w:asciiTheme="majorHAnsi" w:eastAsia="Times New Roman" w:hAnsiTheme="majorHAnsi" w:cstheme="majorHAnsi"/>
          <w:sz w:val="20"/>
          <w:szCs w:val="20"/>
        </w:rPr>
        <w:t>, 2022</w:t>
      </w:r>
      <w:r w:rsidR="00C56B6C" w:rsidRPr="00D64686">
        <w:rPr>
          <w:rFonts w:asciiTheme="majorHAnsi" w:eastAsia="Times New Roman" w:hAnsiTheme="majorHAnsi" w:cstheme="majorHAnsi"/>
          <w:sz w:val="20"/>
          <w:szCs w:val="20"/>
        </w:rPr>
        <w:t xml:space="preserve">. </w:t>
      </w:r>
      <w:hyperlink r:id="rId1" w:history="1">
        <w:r w:rsidR="003320CD" w:rsidRPr="00D173E8">
          <w:rPr>
            <w:rStyle w:val="Hyperlink"/>
            <w:rFonts w:asciiTheme="majorHAnsi" w:eastAsia="Times New Roman" w:hAnsiTheme="majorHAnsi" w:cstheme="majorHAnsi"/>
            <w:sz w:val="20"/>
            <w:szCs w:val="20"/>
          </w:rPr>
          <w:t>https://www.minneapolisfed.org/article/2022/how-occupational-licensing-limits-access-to-jobs-among-workers-of-color</w:t>
        </w:r>
      </w:hyperlink>
      <w:r w:rsidR="003320CD">
        <w:rPr>
          <w:rFonts w:asciiTheme="majorHAnsi" w:eastAsia="Times New Roman" w:hAnsiTheme="majorHAnsi" w:cstheme="majorHAnsi"/>
          <w:sz w:val="20"/>
          <w:szCs w:val="20"/>
        </w:rPr>
        <w:t xml:space="preserve">. </w:t>
      </w:r>
    </w:p>
  </w:footnote>
  <w:footnote w:id="2">
    <w:p w14:paraId="3F7A7048" w14:textId="507BF699" w:rsidR="003761B6" w:rsidRDefault="00F2709E">
      <w:pPr>
        <w:spacing w:line="240" w:lineRule="auto"/>
        <w:rPr>
          <w:rFonts w:ascii="Times New Roman" w:eastAsia="Times New Roman" w:hAnsi="Times New Roman" w:cs="Times New Roman"/>
        </w:rPr>
      </w:pPr>
      <w:r w:rsidRPr="00CB7F8D">
        <w:rPr>
          <w:rFonts w:asciiTheme="majorHAnsi" w:hAnsiTheme="majorHAnsi" w:cstheme="majorHAnsi"/>
          <w:sz w:val="20"/>
          <w:szCs w:val="20"/>
          <w:vertAlign w:val="superscript"/>
        </w:rPr>
        <w:footnoteRef/>
      </w:r>
      <w:r>
        <w:rPr>
          <w:rFonts w:ascii="Times New Roman" w:eastAsia="Times New Roman" w:hAnsi="Times New Roman" w:cs="Times New Roman"/>
        </w:rPr>
        <w:t xml:space="preserve"> </w:t>
      </w:r>
      <w:r w:rsidR="00C56B6C" w:rsidRPr="00CB7F8D">
        <w:rPr>
          <w:rFonts w:asciiTheme="majorHAnsi" w:eastAsia="Times New Roman" w:hAnsiTheme="majorHAnsi" w:cstheme="majorHAnsi"/>
          <w:sz w:val="20"/>
        </w:rPr>
        <w:t>“</w:t>
      </w:r>
      <w:r w:rsidRPr="00CB7F8D">
        <w:rPr>
          <w:rFonts w:asciiTheme="majorHAnsi" w:eastAsia="Times New Roman" w:hAnsiTheme="majorHAnsi" w:cstheme="majorHAnsi"/>
          <w:sz w:val="20"/>
        </w:rPr>
        <w:t xml:space="preserve">State </w:t>
      </w:r>
      <w:r w:rsidR="00C56B6C" w:rsidRPr="00CB7F8D">
        <w:rPr>
          <w:rFonts w:asciiTheme="majorHAnsi" w:eastAsia="Times New Roman" w:hAnsiTheme="majorHAnsi" w:cstheme="majorHAnsi"/>
          <w:sz w:val="20"/>
        </w:rPr>
        <w:t>R</w:t>
      </w:r>
      <w:r w:rsidRPr="00CB7F8D">
        <w:rPr>
          <w:rFonts w:asciiTheme="majorHAnsi" w:eastAsia="Times New Roman" w:hAnsiTheme="majorHAnsi" w:cstheme="majorHAnsi"/>
          <w:sz w:val="20"/>
        </w:rPr>
        <w:t>eforms for Universal License Recognition</w:t>
      </w:r>
      <w:r w:rsidR="00C56B6C" w:rsidRPr="00CB7F8D">
        <w:rPr>
          <w:rFonts w:asciiTheme="majorHAnsi" w:eastAsia="Times New Roman" w:hAnsiTheme="majorHAnsi" w:cstheme="majorHAnsi"/>
          <w:sz w:val="20"/>
        </w:rPr>
        <w:t>,”</w:t>
      </w:r>
      <w:r w:rsidRPr="00CB7F8D">
        <w:rPr>
          <w:rFonts w:asciiTheme="majorHAnsi" w:eastAsia="Times New Roman" w:hAnsiTheme="majorHAnsi" w:cstheme="majorHAnsi"/>
          <w:sz w:val="20"/>
        </w:rPr>
        <w:t xml:space="preserve"> Institute for Justice</w:t>
      </w:r>
      <w:r w:rsidR="00C56B6C" w:rsidRPr="00CB7F8D">
        <w:rPr>
          <w:rFonts w:asciiTheme="majorHAnsi" w:eastAsia="Times New Roman" w:hAnsiTheme="majorHAnsi" w:cstheme="majorHAnsi"/>
          <w:sz w:val="20"/>
        </w:rPr>
        <w:t>,</w:t>
      </w:r>
      <w:r w:rsidRPr="00CB7F8D">
        <w:rPr>
          <w:rFonts w:asciiTheme="majorHAnsi" w:eastAsia="Times New Roman" w:hAnsiTheme="majorHAnsi" w:cstheme="majorHAnsi"/>
          <w:sz w:val="20"/>
        </w:rPr>
        <w:t xml:space="preserve"> </w:t>
      </w:r>
      <w:r w:rsidR="003320CD">
        <w:rPr>
          <w:rFonts w:asciiTheme="majorHAnsi" w:eastAsia="Times New Roman" w:hAnsiTheme="majorHAnsi" w:cstheme="majorHAnsi"/>
          <w:sz w:val="20"/>
        </w:rPr>
        <w:t>last accessed June</w:t>
      </w:r>
      <w:r w:rsidRPr="00CB7F8D">
        <w:rPr>
          <w:rFonts w:asciiTheme="majorHAnsi" w:eastAsia="Times New Roman" w:hAnsiTheme="majorHAnsi" w:cstheme="majorHAnsi"/>
          <w:sz w:val="20"/>
        </w:rPr>
        <w:t xml:space="preserve"> </w:t>
      </w:r>
      <w:r w:rsidR="003320CD">
        <w:rPr>
          <w:rFonts w:asciiTheme="majorHAnsi" w:eastAsia="Times New Roman" w:hAnsiTheme="majorHAnsi" w:cstheme="majorHAnsi"/>
          <w:sz w:val="20"/>
        </w:rPr>
        <w:t>13</w:t>
      </w:r>
      <w:r w:rsidR="00C56B6C" w:rsidRPr="00CB7F8D">
        <w:rPr>
          <w:rFonts w:asciiTheme="majorHAnsi" w:eastAsia="Times New Roman" w:hAnsiTheme="majorHAnsi" w:cstheme="majorHAnsi"/>
          <w:sz w:val="20"/>
        </w:rPr>
        <w:t>, 2023</w:t>
      </w:r>
      <w:r w:rsidRPr="00CB7F8D">
        <w:rPr>
          <w:rFonts w:asciiTheme="majorHAnsi" w:eastAsia="Times New Roman" w:hAnsiTheme="majorHAnsi" w:cstheme="majorHAnsi"/>
          <w:sz w:val="20"/>
        </w:rPr>
        <w:t xml:space="preserve">. </w:t>
      </w:r>
      <w:hyperlink r:id="rId2" w:history="1">
        <w:r w:rsidR="003320CD" w:rsidRPr="00D173E8">
          <w:rPr>
            <w:rStyle w:val="Hyperlink"/>
            <w:rFonts w:asciiTheme="majorHAnsi" w:eastAsia="Times New Roman" w:hAnsiTheme="majorHAnsi" w:cstheme="majorHAnsi"/>
            <w:sz w:val="20"/>
          </w:rPr>
          <w:t>https://ij.org/legislative-advocacy/states-reforms-for-universal-recognition-of-occupational-licensing</w:t>
        </w:r>
      </w:hyperlink>
      <w:r w:rsidR="003320CD">
        <w:rPr>
          <w:rFonts w:asciiTheme="majorHAnsi" w:eastAsia="Times New Roman" w:hAnsiTheme="majorHAnsi" w:cstheme="majorHAnsi"/>
          <w:sz w:val="20"/>
          <w:szCs w:val="20"/>
        </w:rPr>
        <w:t xml:space="preserve">. </w:t>
      </w:r>
    </w:p>
  </w:footnote>
  <w:footnote w:id="3">
    <w:p w14:paraId="57325A23" w14:textId="2885A897" w:rsidR="003761B6" w:rsidRPr="00D64686" w:rsidRDefault="00F2709E">
      <w:pPr>
        <w:spacing w:line="240" w:lineRule="auto"/>
        <w:rPr>
          <w:rFonts w:asciiTheme="majorHAnsi" w:eastAsia="Times New Roman" w:hAnsiTheme="majorHAnsi" w:cstheme="majorHAnsi"/>
          <w:sz w:val="20"/>
          <w:szCs w:val="20"/>
        </w:rPr>
      </w:pPr>
      <w:r w:rsidRPr="00D64686">
        <w:rPr>
          <w:rFonts w:asciiTheme="majorHAnsi" w:hAnsiTheme="majorHAnsi" w:cstheme="majorHAnsi"/>
          <w:sz w:val="20"/>
          <w:szCs w:val="20"/>
          <w:vertAlign w:val="superscript"/>
        </w:rPr>
        <w:footnoteRef/>
      </w:r>
      <w:r w:rsidRPr="00D64686">
        <w:rPr>
          <w:rFonts w:asciiTheme="majorHAnsi" w:eastAsia="Times New Roman" w:hAnsiTheme="majorHAnsi" w:cstheme="majorHAnsi"/>
          <w:sz w:val="20"/>
          <w:szCs w:val="20"/>
        </w:rPr>
        <w:t xml:space="preserve"> </w:t>
      </w:r>
      <w:proofErr w:type="spellStart"/>
      <w:r w:rsidRPr="00CB7F8D">
        <w:rPr>
          <w:rFonts w:asciiTheme="majorHAnsi" w:eastAsia="Times New Roman" w:hAnsiTheme="majorHAnsi" w:cstheme="majorHAnsi"/>
          <w:sz w:val="20"/>
          <w:szCs w:val="20"/>
          <w:highlight w:val="white"/>
        </w:rPr>
        <w:t>Kihwan</w:t>
      </w:r>
      <w:proofErr w:type="spellEnd"/>
      <w:r w:rsidR="00C56B6C">
        <w:rPr>
          <w:rFonts w:asciiTheme="majorHAnsi" w:eastAsia="Times New Roman" w:hAnsiTheme="majorHAnsi" w:cstheme="majorHAnsi"/>
          <w:sz w:val="20"/>
          <w:szCs w:val="20"/>
          <w:highlight w:val="white"/>
        </w:rPr>
        <w:t xml:space="preserve"> Bae</w:t>
      </w:r>
      <w:r w:rsidRPr="00CB7F8D">
        <w:rPr>
          <w:rFonts w:asciiTheme="majorHAnsi" w:eastAsia="Times New Roman" w:hAnsiTheme="majorHAnsi" w:cstheme="majorHAnsi"/>
          <w:sz w:val="20"/>
          <w:szCs w:val="20"/>
          <w:highlight w:val="white"/>
        </w:rPr>
        <w:t xml:space="preserve"> and </w:t>
      </w:r>
      <w:r w:rsidR="00C56B6C">
        <w:rPr>
          <w:rFonts w:asciiTheme="majorHAnsi" w:eastAsia="Times New Roman" w:hAnsiTheme="majorHAnsi" w:cstheme="majorHAnsi"/>
          <w:sz w:val="20"/>
          <w:szCs w:val="20"/>
          <w:highlight w:val="white"/>
        </w:rPr>
        <w:t xml:space="preserve">Edward </w:t>
      </w:r>
      <w:r w:rsidRPr="00CB7F8D">
        <w:rPr>
          <w:rFonts w:asciiTheme="majorHAnsi" w:eastAsia="Times New Roman" w:hAnsiTheme="majorHAnsi" w:cstheme="majorHAnsi"/>
          <w:sz w:val="20"/>
          <w:szCs w:val="20"/>
          <w:highlight w:val="white"/>
        </w:rPr>
        <w:t xml:space="preserve">Timmons, </w:t>
      </w:r>
      <w:r w:rsidR="00C56B6C">
        <w:rPr>
          <w:rFonts w:asciiTheme="majorHAnsi" w:eastAsia="Times New Roman" w:hAnsiTheme="majorHAnsi" w:cstheme="majorHAnsi"/>
          <w:sz w:val="20"/>
          <w:szCs w:val="20"/>
          <w:highlight w:val="white"/>
        </w:rPr>
        <w:t>“</w:t>
      </w:r>
      <w:r w:rsidRPr="00CB7F8D">
        <w:rPr>
          <w:rFonts w:asciiTheme="majorHAnsi" w:eastAsia="Times New Roman" w:hAnsiTheme="majorHAnsi" w:cstheme="majorHAnsi"/>
          <w:sz w:val="20"/>
          <w:szCs w:val="20"/>
          <w:highlight w:val="white"/>
        </w:rPr>
        <w:t>Now You Can Take It with You: Effects of Occupational Credential Recognition on Labor Market Outcomes</w:t>
      </w:r>
      <w:r w:rsidR="00C56B6C">
        <w:rPr>
          <w:rFonts w:asciiTheme="majorHAnsi" w:eastAsia="Times New Roman" w:hAnsiTheme="majorHAnsi" w:cstheme="majorHAnsi"/>
          <w:sz w:val="20"/>
          <w:szCs w:val="20"/>
          <w:highlight w:val="white"/>
        </w:rPr>
        <w:t>,”</w:t>
      </w:r>
      <w:r w:rsidRPr="00CB7F8D">
        <w:rPr>
          <w:rFonts w:asciiTheme="majorHAnsi" w:eastAsia="Times New Roman" w:hAnsiTheme="majorHAnsi" w:cstheme="majorHAnsi"/>
          <w:sz w:val="20"/>
          <w:szCs w:val="20"/>
          <w:highlight w:val="white"/>
        </w:rPr>
        <w:t xml:space="preserve"> </w:t>
      </w:r>
      <w:r w:rsidR="003320CD">
        <w:rPr>
          <w:rFonts w:asciiTheme="majorHAnsi" w:eastAsia="Times New Roman" w:hAnsiTheme="majorHAnsi" w:cstheme="majorHAnsi"/>
          <w:sz w:val="20"/>
          <w:szCs w:val="20"/>
          <w:highlight w:val="white"/>
        </w:rPr>
        <w:t xml:space="preserve">SSRN, </w:t>
      </w:r>
      <w:r w:rsidRPr="00CB7F8D">
        <w:rPr>
          <w:rFonts w:asciiTheme="majorHAnsi" w:eastAsia="Times New Roman" w:hAnsiTheme="majorHAnsi" w:cstheme="majorHAnsi"/>
          <w:sz w:val="20"/>
          <w:szCs w:val="20"/>
          <w:highlight w:val="white"/>
        </w:rPr>
        <w:t>March 8, 2023.</w:t>
      </w:r>
      <w:r w:rsidR="003320CD">
        <w:rPr>
          <w:rFonts w:asciiTheme="majorHAnsi" w:eastAsia="Times New Roman" w:hAnsiTheme="majorHAnsi" w:cstheme="majorHAnsi"/>
          <w:sz w:val="20"/>
          <w:szCs w:val="20"/>
          <w:highlight w:val="white"/>
        </w:rPr>
        <w:t xml:space="preserve"> </w:t>
      </w:r>
      <w:hyperlink r:id="rId3" w:history="1">
        <w:r w:rsidR="003320CD" w:rsidRPr="00D173E8">
          <w:rPr>
            <w:rStyle w:val="Hyperlink"/>
            <w:rFonts w:asciiTheme="majorHAnsi" w:eastAsia="Times New Roman" w:hAnsiTheme="majorHAnsi" w:cstheme="majorHAnsi"/>
            <w:sz w:val="20"/>
            <w:szCs w:val="20"/>
          </w:rPr>
          <w:t>https://papers.ssrn.com/sol3/papers.cfm?abstract_id=4389898</w:t>
        </w:r>
      </w:hyperlink>
      <w:r w:rsidR="003320CD">
        <w:rPr>
          <w:rFonts w:asciiTheme="majorHAnsi" w:eastAsia="Times New Roman" w:hAnsiTheme="majorHAnsi" w:cstheme="majorHAnsi"/>
          <w:sz w:val="20"/>
          <w:szCs w:val="20"/>
        </w:rPr>
        <w:t xml:space="preserve">. </w:t>
      </w:r>
    </w:p>
  </w:footnote>
  <w:footnote w:id="4">
    <w:p w14:paraId="41B8E4B4" w14:textId="3D1BC97F" w:rsidR="003761B6" w:rsidRDefault="00F2709E">
      <w:pPr>
        <w:spacing w:line="240" w:lineRule="auto"/>
        <w:rPr>
          <w:rFonts w:asciiTheme="majorHAnsi" w:eastAsia="Times New Roman" w:hAnsiTheme="majorHAnsi" w:cstheme="majorHAnsi"/>
          <w:sz w:val="20"/>
          <w:szCs w:val="20"/>
        </w:rPr>
      </w:pPr>
      <w:r w:rsidRPr="00D64686">
        <w:rPr>
          <w:rFonts w:asciiTheme="majorHAnsi" w:hAnsiTheme="majorHAnsi" w:cstheme="majorHAnsi"/>
          <w:sz w:val="20"/>
          <w:szCs w:val="20"/>
          <w:vertAlign w:val="superscript"/>
        </w:rPr>
        <w:footnoteRef/>
      </w:r>
      <w:r w:rsidRPr="00D64686">
        <w:rPr>
          <w:rFonts w:asciiTheme="majorHAnsi" w:eastAsia="Times New Roman" w:hAnsiTheme="majorHAnsi" w:cstheme="majorHAnsi"/>
          <w:sz w:val="20"/>
          <w:szCs w:val="20"/>
        </w:rPr>
        <w:t xml:space="preserve"> </w:t>
      </w:r>
      <w:r w:rsidRPr="00D64686">
        <w:rPr>
          <w:rFonts w:asciiTheme="majorHAnsi" w:eastAsia="Times New Roman" w:hAnsiTheme="majorHAnsi" w:cstheme="majorHAnsi"/>
          <w:sz w:val="20"/>
          <w:szCs w:val="20"/>
          <w:highlight w:val="white"/>
        </w:rPr>
        <w:t>Bae and Timmons</w:t>
      </w:r>
      <w:r w:rsidR="003320CD">
        <w:rPr>
          <w:rFonts w:asciiTheme="majorHAnsi" w:eastAsia="Times New Roman" w:hAnsiTheme="majorHAnsi" w:cstheme="majorHAnsi"/>
          <w:sz w:val="20"/>
          <w:szCs w:val="20"/>
          <w:highlight w:val="white"/>
        </w:rPr>
        <w:t xml:space="preserve">. </w:t>
      </w:r>
      <w:hyperlink r:id="rId4" w:history="1">
        <w:r w:rsidR="003320CD" w:rsidRPr="00D173E8">
          <w:rPr>
            <w:rStyle w:val="Hyperlink"/>
            <w:rFonts w:asciiTheme="majorHAnsi" w:eastAsia="Times New Roman" w:hAnsiTheme="majorHAnsi" w:cstheme="majorHAnsi"/>
            <w:sz w:val="20"/>
            <w:szCs w:val="20"/>
          </w:rPr>
          <w:t>https://papers.ssrn.com/sol3/papers.cfm?abstract_id=4389898</w:t>
        </w:r>
      </w:hyperlink>
      <w:r w:rsidR="003320CD">
        <w:rPr>
          <w:rFonts w:asciiTheme="majorHAnsi" w:eastAsia="Times New Roman" w:hAnsiTheme="majorHAnsi" w:cstheme="majorHAnsi"/>
          <w:sz w:val="20"/>
          <w:szCs w:val="20"/>
        </w:rPr>
        <w:t xml:space="preserve">. </w:t>
      </w:r>
    </w:p>
    <w:p w14:paraId="6E0DDF55" w14:textId="6CC86982" w:rsidR="00BF3BA7" w:rsidRPr="00D64686" w:rsidRDefault="00BF3BA7">
      <w:pPr>
        <w:spacing w:line="240" w:lineRule="auto"/>
        <w:rPr>
          <w:rFonts w:asciiTheme="majorHAnsi" w:eastAsia="Times New Roman" w:hAnsiTheme="majorHAnsi" w:cstheme="majorHAnsi"/>
          <w:sz w:val="20"/>
          <w:szCs w:val="20"/>
        </w:rPr>
      </w:pPr>
      <w:r>
        <w:rPr>
          <w:rFonts w:asciiTheme="majorHAnsi" w:hAnsiTheme="majorHAnsi" w:cstheme="majorHAnsi"/>
          <w:sz w:val="20"/>
          <w:szCs w:val="20"/>
          <w:vertAlign w:val="superscript"/>
        </w:rPr>
        <w:t>5</w:t>
      </w:r>
      <w:r w:rsidRPr="00D64686">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Women’s Bureau, “</w:t>
      </w:r>
      <w:r w:rsidRPr="00D64686">
        <w:rPr>
          <w:rFonts w:asciiTheme="majorHAnsi" w:eastAsia="Times New Roman" w:hAnsiTheme="majorHAnsi" w:cstheme="majorHAnsi"/>
          <w:sz w:val="20"/>
          <w:szCs w:val="20"/>
        </w:rPr>
        <w:t xml:space="preserve">Military </w:t>
      </w:r>
      <w:r>
        <w:rPr>
          <w:rFonts w:asciiTheme="majorHAnsi" w:eastAsia="Times New Roman" w:hAnsiTheme="majorHAnsi" w:cstheme="majorHAnsi"/>
          <w:sz w:val="20"/>
          <w:szCs w:val="20"/>
        </w:rPr>
        <w:t>S</w:t>
      </w:r>
      <w:r w:rsidRPr="00D64686">
        <w:rPr>
          <w:rFonts w:asciiTheme="majorHAnsi" w:eastAsia="Times New Roman" w:hAnsiTheme="majorHAnsi" w:cstheme="majorHAnsi"/>
          <w:sz w:val="20"/>
          <w:szCs w:val="20"/>
        </w:rPr>
        <w:t xml:space="preserve">pouses </w:t>
      </w:r>
      <w:r>
        <w:rPr>
          <w:rFonts w:asciiTheme="majorHAnsi" w:eastAsia="Times New Roman" w:hAnsiTheme="majorHAnsi" w:cstheme="majorHAnsi"/>
          <w:sz w:val="20"/>
          <w:szCs w:val="20"/>
        </w:rPr>
        <w:t>F</w:t>
      </w:r>
      <w:r w:rsidRPr="00D64686">
        <w:rPr>
          <w:rFonts w:asciiTheme="majorHAnsi" w:eastAsia="Times New Roman" w:hAnsiTheme="majorHAnsi" w:cstheme="majorHAnsi"/>
          <w:sz w:val="20"/>
          <w:szCs w:val="20"/>
        </w:rPr>
        <w:t xml:space="preserve">act </w:t>
      </w:r>
      <w:r>
        <w:rPr>
          <w:rFonts w:asciiTheme="majorHAnsi" w:eastAsia="Times New Roman" w:hAnsiTheme="majorHAnsi" w:cstheme="majorHAnsi"/>
          <w:sz w:val="20"/>
          <w:szCs w:val="20"/>
        </w:rPr>
        <w:t>S</w:t>
      </w:r>
      <w:r w:rsidRPr="00D64686">
        <w:rPr>
          <w:rFonts w:asciiTheme="majorHAnsi" w:eastAsia="Times New Roman" w:hAnsiTheme="majorHAnsi" w:cstheme="majorHAnsi"/>
          <w:sz w:val="20"/>
          <w:szCs w:val="20"/>
        </w:rPr>
        <w:t>heet</w:t>
      </w:r>
      <w:r>
        <w:rPr>
          <w:rFonts w:asciiTheme="majorHAnsi" w:eastAsia="Times New Roman" w:hAnsiTheme="majorHAnsi" w:cstheme="majorHAnsi"/>
          <w:sz w:val="20"/>
          <w:szCs w:val="20"/>
        </w:rPr>
        <w:t>,”</w:t>
      </w:r>
      <w:r w:rsidRPr="00D64686">
        <w:rPr>
          <w:rFonts w:asciiTheme="majorHAnsi" w:eastAsia="Times New Roman" w:hAnsiTheme="majorHAnsi" w:cstheme="majorHAnsi"/>
          <w:sz w:val="20"/>
          <w:szCs w:val="20"/>
        </w:rPr>
        <w:t xml:space="preserve"> U.S. Department of Labor</w:t>
      </w:r>
      <w:r>
        <w:rPr>
          <w:rFonts w:asciiTheme="majorHAnsi" w:eastAsia="Times New Roman" w:hAnsiTheme="majorHAnsi" w:cstheme="majorHAnsi"/>
          <w:sz w:val="20"/>
          <w:szCs w:val="20"/>
        </w:rPr>
        <w:t>,</w:t>
      </w:r>
      <w:r w:rsidRPr="00D64686">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last accessed June 13, 2023.</w:t>
      </w:r>
      <w:r w:rsidRPr="00D64686">
        <w:rPr>
          <w:rFonts w:asciiTheme="majorHAnsi" w:eastAsia="Times New Roman" w:hAnsiTheme="majorHAnsi" w:cstheme="majorHAnsi"/>
          <w:sz w:val="20"/>
          <w:szCs w:val="20"/>
        </w:rPr>
        <w:t xml:space="preserve"> </w:t>
      </w:r>
      <w:hyperlink r:id="rId5" w:history="1">
        <w:r w:rsidRPr="00D173E8">
          <w:rPr>
            <w:rStyle w:val="Hyperlink"/>
            <w:rFonts w:asciiTheme="majorHAnsi" w:eastAsia="Times New Roman" w:hAnsiTheme="majorHAnsi" w:cstheme="majorHAnsi"/>
            <w:sz w:val="20"/>
            <w:szCs w:val="20"/>
          </w:rPr>
          <w:t>https://www.dol.gov/sites/dolgov/files/WB/mib/WB-MilSpouse-factsheet.pdf</w:t>
        </w:r>
      </w:hyperlink>
      <w:r>
        <w:rPr>
          <w:rFonts w:asciiTheme="majorHAnsi" w:eastAsia="Times New Roman" w:hAnsiTheme="majorHAnsi" w:cstheme="majorHAnsi"/>
          <w:sz w:val="20"/>
          <w:szCs w:val="20"/>
        </w:rPr>
        <w:t>.</w:t>
      </w:r>
    </w:p>
  </w:footnote>
  <w:footnote w:id="5">
    <w:p w14:paraId="106ABDD5" w14:textId="126BAEFF" w:rsidR="008A4C87" w:rsidRPr="00D64686" w:rsidRDefault="005D7B64" w:rsidP="008A4C87">
      <w:pPr>
        <w:spacing w:line="240" w:lineRule="auto"/>
        <w:rPr>
          <w:rFonts w:asciiTheme="majorHAnsi" w:eastAsia="Times New Roman" w:hAnsiTheme="majorHAnsi" w:cstheme="majorHAnsi"/>
          <w:sz w:val="20"/>
          <w:szCs w:val="20"/>
        </w:rPr>
      </w:pPr>
      <w:r>
        <w:rPr>
          <w:rFonts w:asciiTheme="majorHAnsi" w:hAnsiTheme="majorHAnsi" w:cstheme="majorHAnsi"/>
          <w:sz w:val="20"/>
          <w:szCs w:val="20"/>
          <w:vertAlign w:val="superscript"/>
        </w:rPr>
        <w:t xml:space="preserve">6 </w:t>
      </w:r>
      <w:r>
        <w:rPr>
          <w:rFonts w:asciiTheme="majorHAnsi" w:eastAsia="Times New Roman" w:hAnsiTheme="majorHAnsi" w:cstheme="majorHAnsi"/>
          <w:sz w:val="20"/>
          <w:szCs w:val="20"/>
        </w:rPr>
        <w:t>“</w:t>
      </w:r>
      <w:r w:rsidRPr="00D64686">
        <w:rPr>
          <w:rFonts w:asciiTheme="majorHAnsi" w:eastAsia="Times New Roman" w:hAnsiTheme="majorHAnsi" w:cstheme="majorHAnsi"/>
          <w:sz w:val="20"/>
          <w:szCs w:val="20"/>
        </w:rPr>
        <w:t>Supporting our Military Families: Best Practices for Streamlining Occupational Licensing Across State Lines</w:t>
      </w:r>
      <w:r>
        <w:rPr>
          <w:rFonts w:asciiTheme="majorHAnsi" w:eastAsia="Times New Roman" w:hAnsiTheme="majorHAnsi" w:cstheme="majorHAnsi"/>
          <w:sz w:val="20"/>
          <w:szCs w:val="20"/>
        </w:rPr>
        <w:t xml:space="preserve">,” U.S. Department of the Treasury and U.S. Department of Defense, </w:t>
      </w:r>
      <w:r w:rsidRPr="00D64686">
        <w:rPr>
          <w:rFonts w:asciiTheme="majorHAnsi" w:eastAsia="Times New Roman" w:hAnsiTheme="majorHAnsi" w:cstheme="majorHAnsi"/>
          <w:sz w:val="20"/>
          <w:szCs w:val="20"/>
        </w:rPr>
        <w:t xml:space="preserve">February </w:t>
      </w:r>
      <w:r>
        <w:rPr>
          <w:rFonts w:asciiTheme="majorHAnsi" w:eastAsia="Times New Roman" w:hAnsiTheme="majorHAnsi" w:cstheme="majorHAnsi"/>
          <w:sz w:val="20"/>
          <w:szCs w:val="20"/>
        </w:rPr>
        <w:t>2012</w:t>
      </w:r>
      <w:r w:rsidRPr="00D64686">
        <w:rPr>
          <w:rFonts w:asciiTheme="majorHAnsi" w:eastAsia="Times New Roman" w:hAnsiTheme="majorHAnsi" w:cstheme="majorHAnsi"/>
          <w:sz w:val="20"/>
          <w:szCs w:val="20"/>
        </w:rPr>
        <w:t xml:space="preserve">. </w:t>
      </w:r>
      <w:hyperlink r:id="rId6" w:history="1">
        <w:r w:rsidRPr="00D173E8">
          <w:rPr>
            <w:rStyle w:val="Hyperlink"/>
            <w:rFonts w:asciiTheme="majorHAnsi" w:eastAsia="Times New Roman" w:hAnsiTheme="majorHAnsi" w:cstheme="majorHAnsi"/>
            <w:sz w:val="20"/>
            <w:szCs w:val="20"/>
          </w:rPr>
          <w:t>https://download.militaryonesource.mil/12038/MOS/Reports/Occupational-Licensing-and-Military-Spouses-Report.pdf</w:t>
        </w:r>
      </w:hyperlink>
      <w:r>
        <w:rPr>
          <w:rFonts w:asciiTheme="majorHAnsi" w:eastAsia="Times New Roman" w:hAnsiTheme="majorHAnsi" w:cstheme="majorHAnsi"/>
          <w:sz w:val="20"/>
          <w:szCs w:val="20"/>
        </w:rPr>
        <w:t>.</w:t>
      </w:r>
    </w:p>
  </w:footnote>
  <w:footnote w:id="6">
    <w:p w14:paraId="13BC2A27" w14:textId="3C42710B" w:rsidR="003761B6" w:rsidRDefault="005D7B64">
      <w:pPr>
        <w:spacing w:line="240" w:lineRule="auto"/>
        <w:rPr>
          <w:rFonts w:ascii="Times New Roman" w:eastAsia="Times New Roman" w:hAnsi="Times New Roman" w:cs="Times New Roman"/>
        </w:rPr>
      </w:pPr>
      <w:r>
        <w:rPr>
          <w:rFonts w:asciiTheme="majorHAnsi" w:hAnsiTheme="majorHAnsi" w:cstheme="majorHAnsi"/>
          <w:sz w:val="20"/>
          <w:szCs w:val="20"/>
          <w:vertAlign w:val="superscript"/>
        </w:rPr>
        <w:t>7</w:t>
      </w:r>
      <w:r w:rsidRPr="00D64686">
        <w:rPr>
          <w:rFonts w:asciiTheme="majorHAnsi" w:hAnsiTheme="majorHAnsi" w:cstheme="majorHAnsi"/>
          <w:sz w:val="20"/>
          <w:szCs w:val="20"/>
        </w:rPr>
        <w:t xml:space="preserve"> </w:t>
      </w:r>
      <w:r>
        <w:rPr>
          <w:rFonts w:asciiTheme="majorHAnsi" w:hAnsiTheme="majorHAnsi" w:cstheme="majorHAnsi"/>
          <w:sz w:val="20"/>
          <w:szCs w:val="20"/>
        </w:rPr>
        <w:t xml:space="preserve">HB 91, </w:t>
      </w:r>
      <w:r w:rsidRPr="002B0701">
        <w:rPr>
          <w:rFonts w:asciiTheme="majorHAnsi" w:hAnsiTheme="majorHAnsi" w:cstheme="majorHAnsi"/>
          <w:sz w:val="20"/>
          <w:szCs w:val="20"/>
        </w:rPr>
        <w:t>AN ACT relating to the issuance and renewal of occupation</w:t>
      </w:r>
      <w:r>
        <w:rPr>
          <w:rFonts w:asciiTheme="majorHAnsi" w:hAnsiTheme="majorHAnsi" w:cstheme="majorHAnsi"/>
          <w:sz w:val="20"/>
          <w:szCs w:val="20"/>
        </w:rPr>
        <w:t xml:space="preserve">al licenses to military spouses, 2022 Regular Session. </w:t>
      </w:r>
      <w:hyperlink r:id="rId7" w:history="1">
        <w:r w:rsidRPr="00D173E8">
          <w:rPr>
            <w:rStyle w:val="Hyperlink"/>
            <w:rFonts w:asciiTheme="majorHAnsi" w:hAnsiTheme="majorHAnsi" w:cstheme="majorHAnsi"/>
            <w:sz w:val="20"/>
            <w:szCs w:val="20"/>
          </w:rPr>
          <w:t>https://apps.legislature.ky.gov/recorddocuments/bill/22RS/hb91/bill.pdf</w:t>
        </w:r>
      </w:hyperlink>
      <w:r>
        <w:rPr>
          <w:rFonts w:asciiTheme="majorHAnsi" w:eastAsia="Times New Roman" w:hAnsiTheme="majorHAnsi" w:cstheme="majorHAnsi"/>
          <w:sz w:val="20"/>
          <w:szCs w:val="20"/>
        </w:rPr>
        <w:t>.</w:t>
      </w:r>
    </w:p>
  </w:footnote>
  <w:footnote w:id="7">
    <w:p w14:paraId="34A9CC99" w14:textId="3D27D5D0" w:rsidR="003761B6" w:rsidRPr="00D64686" w:rsidRDefault="003761B6">
      <w:pPr>
        <w:spacing w:line="240" w:lineRule="auto"/>
        <w:rPr>
          <w:rFonts w:asciiTheme="majorHAnsi" w:hAnsiTheme="majorHAnsi" w:cstheme="majorHAnsi"/>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4B27"/>
    <w:multiLevelType w:val="multilevel"/>
    <w:tmpl w:val="D7C2ED84"/>
    <w:lvl w:ilvl="0">
      <w:start w:val="1"/>
      <w:numFmt w:val="bullet"/>
      <w:lvlText w:val="●"/>
      <w:lvlJc w:val="left"/>
      <w:pPr>
        <w:ind w:left="720" w:hanging="360"/>
      </w:pPr>
      <w:rPr>
        <w:rFonts w:ascii="Times New Roman" w:eastAsia="Times New Roman" w:hAnsi="Times New Roman" w:cs="Times New Roman"/>
        <w:color w:val="1919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B6"/>
    <w:rsid w:val="00160807"/>
    <w:rsid w:val="001B2736"/>
    <w:rsid w:val="002B0701"/>
    <w:rsid w:val="002E6022"/>
    <w:rsid w:val="003320CD"/>
    <w:rsid w:val="003761B6"/>
    <w:rsid w:val="004B792D"/>
    <w:rsid w:val="005347E4"/>
    <w:rsid w:val="005A65FE"/>
    <w:rsid w:val="005D7B64"/>
    <w:rsid w:val="005E030F"/>
    <w:rsid w:val="006D0B86"/>
    <w:rsid w:val="00712A9F"/>
    <w:rsid w:val="007326F4"/>
    <w:rsid w:val="007E0E0E"/>
    <w:rsid w:val="007F7A27"/>
    <w:rsid w:val="008A4C87"/>
    <w:rsid w:val="008B371A"/>
    <w:rsid w:val="008D0FEC"/>
    <w:rsid w:val="008F4E81"/>
    <w:rsid w:val="00911C4E"/>
    <w:rsid w:val="00973C35"/>
    <w:rsid w:val="009764BF"/>
    <w:rsid w:val="009C1C0E"/>
    <w:rsid w:val="00A66837"/>
    <w:rsid w:val="00AA4EBE"/>
    <w:rsid w:val="00B0614D"/>
    <w:rsid w:val="00B15F7C"/>
    <w:rsid w:val="00BD322E"/>
    <w:rsid w:val="00BF3BA7"/>
    <w:rsid w:val="00C20E8B"/>
    <w:rsid w:val="00C56B6C"/>
    <w:rsid w:val="00CA233C"/>
    <w:rsid w:val="00CB7F8D"/>
    <w:rsid w:val="00D12C18"/>
    <w:rsid w:val="00D51D8C"/>
    <w:rsid w:val="00D64686"/>
    <w:rsid w:val="00D864AC"/>
    <w:rsid w:val="00D90236"/>
    <w:rsid w:val="00DA7286"/>
    <w:rsid w:val="00ED1C8D"/>
    <w:rsid w:val="00F0662F"/>
    <w:rsid w:val="00F110C6"/>
    <w:rsid w:val="00F2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DA2B"/>
  <w15:docId w15:val="{84B36B44-1C65-49BE-82BA-792238D6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u w:val="single"/>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E6022"/>
    <w:rPr>
      <w:sz w:val="16"/>
      <w:szCs w:val="16"/>
    </w:rPr>
  </w:style>
  <w:style w:type="paragraph" w:styleId="CommentText">
    <w:name w:val="annotation text"/>
    <w:basedOn w:val="Normal"/>
    <w:link w:val="CommentTextChar"/>
    <w:uiPriority w:val="99"/>
    <w:semiHidden/>
    <w:unhideWhenUsed/>
    <w:rsid w:val="002E6022"/>
    <w:pPr>
      <w:spacing w:line="240" w:lineRule="auto"/>
    </w:pPr>
    <w:rPr>
      <w:sz w:val="20"/>
      <w:szCs w:val="20"/>
    </w:rPr>
  </w:style>
  <w:style w:type="character" w:customStyle="1" w:styleId="CommentTextChar">
    <w:name w:val="Comment Text Char"/>
    <w:basedOn w:val="DefaultParagraphFont"/>
    <w:link w:val="CommentText"/>
    <w:uiPriority w:val="99"/>
    <w:semiHidden/>
    <w:rsid w:val="002E6022"/>
    <w:rPr>
      <w:sz w:val="20"/>
      <w:szCs w:val="20"/>
    </w:rPr>
  </w:style>
  <w:style w:type="paragraph" w:styleId="CommentSubject">
    <w:name w:val="annotation subject"/>
    <w:basedOn w:val="CommentText"/>
    <w:next w:val="CommentText"/>
    <w:link w:val="CommentSubjectChar"/>
    <w:uiPriority w:val="99"/>
    <w:semiHidden/>
    <w:unhideWhenUsed/>
    <w:rsid w:val="002E6022"/>
    <w:rPr>
      <w:b/>
      <w:bCs/>
    </w:rPr>
  </w:style>
  <w:style w:type="character" w:customStyle="1" w:styleId="CommentSubjectChar">
    <w:name w:val="Comment Subject Char"/>
    <w:basedOn w:val="CommentTextChar"/>
    <w:link w:val="CommentSubject"/>
    <w:uiPriority w:val="99"/>
    <w:semiHidden/>
    <w:rsid w:val="002E6022"/>
    <w:rPr>
      <w:b/>
      <w:bCs/>
      <w:sz w:val="20"/>
      <w:szCs w:val="20"/>
    </w:rPr>
  </w:style>
  <w:style w:type="paragraph" w:styleId="Revision">
    <w:name w:val="Revision"/>
    <w:hidden/>
    <w:uiPriority w:val="99"/>
    <w:semiHidden/>
    <w:rsid w:val="002E6022"/>
    <w:pPr>
      <w:spacing w:line="240" w:lineRule="auto"/>
    </w:pPr>
  </w:style>
  <w:style w:type="paragraph" w:styleId="BalloonText">
    <w:name w:val="Balloon Text"/>
    <w:basedOn w:val="Normal"/>
    <w:link w:val="BalloonTextChar"/>
    <w:uiPriority w:val="99"/>
    <w:semiHidden/>
    <w:unhideWhenUsed/>
    <w:rsid w:val="002E60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22"/>
    <w:rPr>
      <w:rFonts w:ascii="Segoe UI" w:hAnsi="Segoe UI" w:cs="Segoe UI"/>
      <w:sz w:val="18"/>
      <w:szCs w:val="18"/>
    </w:rPr>
  </w:style>
  <w:style w:type="character" w:styleId="Hyperlink">
    <w:name w:val="Hyperlink"/>
    <w:basedOn w:val="DefaultParagraphFont"/>
    <w:uiPriority w:val="99"/>
    <w:unhideWhenUsed/>
    <w:rsid w:val="003320CD"/>
    <w:rPr>
      <w:color w:val="0000FF" w:themeColor="hyperlink"/>
      <w:u w:val="single"/>
    </w:rPr>
  </w:style>
  <w:style w:type="character" w:styleId="FollowedHyperlink">
    <w:name w:val="FollowedHyperlink"/>
    <w:basedOn w:val="DefaultParagraphFont"/>
    <w:uiPriority w:val="99"/>
    <w:semiHidden/>
    <w:unhideWhenUsed/>
    <w:rsid w:val="003320CD"/>
    <w:rPr>
      <w:color w:val="800080" w:themeColor="followedHyperlink"/>
      <w:u w:val="single"/>
    </w:rPr>
  </w:style>
  <w:style w:type="paragraph" w:styleId="FootnoteText">
    <w:name w:val="footnote text"/>
    <w:basedOn w:val="Normal"/>
    <w:link w:val="FootnoteTextChar"/>
    <w:uiPriority w:val="99"/>
    <w:semiHidden/>
    <w:unhideWhenUsed/>
    <w:rsid w:val="00911C4E"/>
    <w:pPr>
      <w:spacing w:line="240" w:lineRule="auto"/>
    </w:pPr>
    <w:rPr>
      <w:sz w:val="20"/>
      <w:szCs w:val="20"/>
    </w:rPr>
  </w:style>
  <w:style w:type="character" w:customStyle="1" w:styleId="FootnoteTextChar">
    <w:name w:val="Footnote Text Char"/>
    <w:basedOn w:val="DefaultParagraphFont"/>
    <w:link w:val="FootnoteText"/>
    <w:uiPriority w:val="99"/>
    <w:semiHidden/>
    <w:rsid w:val="00911C4E"/>
    <w:rPr>
      <w:sz w:val="20"/>
      <w:szCs w:val="20"/>
    </w:rPr>
  </w:style>
  <w:style w:type="character" w:styleId="FootnoteReference">
    <w:name w:val="footnote reference"/>
    <w:basedOn w:val="DefaultParagraphFont"/>
    <w:uiPriority w:val="99"/>
    <w:semiHidden/>
    <w:unhideWhenUsed/>
    <w:rsid w:val="00911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0384">
      <w:bodyDiv w:val="1"/>
      <w:marLeft w:val="0"/>
      <w:marRight w:val="0"/>
      <w:marTop w:val="0"/>
      <w:marBottom w:val="0"/>
      <w:divBdr>
        <w:top w:val="none" w:sz="0" w:space="0" w:color="auto"/>
        <w:left w:val="none" w:sz="0" w:space="0" w:color="auto"/>
        <w:bottom w:val="none" w:sz="0" w:space="0" w:color="auto"/>
        <w:right w:val="none" w:sz="0" w:space="0" w:color="auto"/>
      </w:divBdr>
    </w:div>
    <w:div w:id="1139346663">
      <w:bodyDiv w:val="1"/>
      <w:marLeft w:val="0"/>
      <w:marRight w:val="0"/>
      <w:marTop w:val="0"/>
      <w:marBottom w:val="0"/>
      <w:divBdr>
        <w:top w:val="none" w:sz="0" w:space="0" w:color="auto"/>
        <w:left w:val="none" w:sz="0" w:space="0" w:color="auto"/>
        <w:bottom w:val="none" w:sz="0" w:space="0" w:color="auto"/>
        <w:right w:val="none" w:sz="0" w:space="0" w:color="auto"/>
      </w:divBdr>
    </w:div>
    <w:div w:id="127909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apers.ssrn.com/sol3/papers.cfm?abstract_id=4389898" TargetMode="External"/><Relationship Id="rId7" Type="http://schemas.openxmlformats.org/officeDocument/2006/relationships/hyperlink" Target="https://apps.legislature.ky.gov/recorddocuments/bill/22RS/hb91/bill.pdf" TargetMode="External"/><Relationship Id="rId2" Type="http://schemas.openxmlformats.org/officeDocument/2006/relationships/hyperlink" Target="https://ij.org/legislative-advocacy/states-reforms-for-universal-recognition-of-occupational-licensing" TargetMode="External"/><Relationship Id="rId1" Type="http://schemas.openxmlformats.org/officeDocument/2006/relationships/hyperlink" Target="https://www.minneapolisfed.org/article/2022/how-occupational-licensing-limits-access-to-jobs-among-workers-of-color" TargetMode="External"/><Relationship Id="rId6" Type="http://schemas.openxmlformats.org/officeDocument/2006/relationships/hyperlink" Target="https://download.militaryonesource.mil/12038/MOS/Reports/Occupational-Licensing-and-Military-Spouses-Report.pdf" TargetMode="External"/><Relationship Id="rId5" Type="http://schemas.openxmlformats.org/officeDocument/2006/relationships/hyperlink" Target="https://www.dol.gov/sites/dolgov/files/WB/mib/WB-MilSpouse-factsheet.pdf" TargetMode="External"/><Relationship Id="rId4" Type="http://schemas.openxmlformats.org/officeDocument/2006/relationships/hyperlink" Target="https://papers.ssrn.com/sol3/papers.cfm?abstract_id=4389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Cieslik</dc:creator>
  <cp:lastModifiedBy>Beth Cieslik</cp:lastModifiedBy>
  <cp:revision>3</cp:revision>
  <dcterms:created xsi:type="dcterms:W3CDTF">2023-06-14T15:25:00Z</dcterms:created>
  <dcterms:modified xsi:type="dcterms:W3CDTF">2023-06-14T15:27:00Z</dcterms:modified>
</cp:coreProperties>
</file>