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rFonts w:ascii="Times New Roman" w:cs="Times New Roman" w:eastAsia="Times New Roman" w:hAnsi="Times New Roman"/>
          <w:b w:val="1"/>
          <w:bCs w:val="1"/>
          <w:color w:val="434343"/>
          <w:sz w:val="38"/>
          <w:szCs w:val="38"/>
        </w:rPr>
      </w:pPr>
      <w:bookmarkStart w:colFirst="0" w:colLast="0" w:name="_heading=h.m8i7wlbceo2w" w:id="0"/>
      <w:bookmarkEnd w:id="0"/>
      <w:r w:rsidDel="00000000" w:rsidR="00000000" w:rsidRPr="00000000">
        <w:rPr>
          <w:rFonts w:ascii="Times New Roman" w:cs="Times New Roman" w:eastAsia="Times New Roman" w:hAnsi="Times New Roman"/>
          <w:b w:val="1"/>
          <w:bCs w:val="1"/>
          <w:color w:val="434343"/>
          <w:sz w:val="38"/>
          <w:szCs w:val="38"/>
          <w:rtl w:val="0"/>
        </w:rPr>
        <w:t xml:space="preserve">Expanding Access to Barbering Careers and Reducing Occupational Barriers in Kentucky</w:t>
      </w:r>
    </w:p>
    <w:p w:rsidR="00000000" w:rsidDel="00000000" w:rsidP="00000000" w:rsidRDefault="00000000" w:rsidRPr="00000000" w14:paraId="00000002">
      <w:pPr>
        <w:pStyle w:val="Heading2"/>
        <w:keepNext w:val="0"/>
        <w:keepLines w:val="0"/>
        <w:spacing w:after="80" w:lineRule="auto"/>
        <w:rPr>
          <w:rFonts w:ascii="Times New Roman" w:cs="Times New Roman" w:eastAsia="Times New Roman" w:hAnsi="Times New Roman"/>
          <w:b w:val="1"/>
          <w:bCs w:val="1"/>
          <w:color w:val="434343"/>
        </w:rPr>
      </w:pPr>
      <w:bookmarkStart w:colFirst="0" w:colLast="0" w:name="_heading=h.a4ysnnn0khiq" w:id="1"/>
      <w:bookmarkEnd w:id="1"/>
      <w:r w:rsidDel="00000000" w:rsidR="00000000" w:rsidRPr="00000000">
        <w:rPr>
          <w:rFonts w:ascii="Times New Roman" w:cs="Times New Roman" w:eastAsia="Times New Roman" w:hAnsi="Times New Roman"/>
          <w:b w:val="1"/>
          <w:bCs w:val="1"/>
          <w:color w:val="434343"/>
          <w:rtl w:val="0"/>
        </w:rPr>
        <w:t xml:space="preserve">Kentucky's Current System Creates Barriers to Entry</w:t>
      </w:r>
    </w:p>
    <w:p w:rsidR="00000000" w:rsidDel="00000000" w:rsidP="00000000" w:rsidRDefault="00000000" w:rsidRPr="00000000" w14:paraId="00000003">
      <w:pPr>
        <w:spacing w:after="280" w:before="280" w:lineRule="auto"/>
        <w:rPr>
          <w:rFonts w:ascii="Times New Roman" w:cs="Times New Roman" w:eastAsia="Times New Roman" w:hAnsi="Times New Roman"/>
          <w:color w:val="434343"/>
          <w:sz w:val="24"/>
          <w:szCs w:val="24"/>
        </w:rPr>
      </w:pPr>
      <w:r w:rsidDel="00000000" w:rsidR="00000000" w:rsidRPr="00000000">
        <w:rPr>
          <w:rFonts w:ascii="Times New Roman" w:cs="Times New Roman" w:eastAsia="Times New Roman" w:hAnsi="Times New Roman"/>
          <w:color w:val="434343"/>
          <w:sz w:val="24"/>
          <w:szCs w:val="24"/>
          <w:rtl w:val="0"/>
        </w:rPr>
        <w:t xml:space="preserve">Kentucky currently requires 1,500 hours of barbering education before an individual may pursue licensure—well above the national average of approximately 1,200 hours and significantly higher than the 500-1,000 hour requirements increasingly adopted by other states. At the same time, Kentucky has only a handful of licensed barbering schools serving more than 4.5 million residents, creating geographic and financial barriers for many prospective barbers, particularly in rural communities.</w:t>
      </w:r>
    </w:p>
    <w:p w:rsidR="00000000" w:rsidDel="00000000" w:rsidP="00000000" w:rsidRDefault="00000000" w:rsidRPr="00000000" w14:paraId="00000004">
      <w:pPr>
        <w:spacing w:after="280" w:before="280" w:lineRule="auto"/>
        <w:rPr>
          <w:rFonts w:ascii="Times New Roman" w:cs="Times New Roman" w:eastAsia="Times New Roman" w:hAnsi="Times New Roman"/>
          <w:color w:val="434343"/>
          <w:sz w:val="24"/>
          <w:szCs w:val="24"/>
        </w:rPr>
      </w:pPr>
      <w:r w:rsidDel="00000000" w:rsidR="00000000" w:rsidRPr="00000000">
        <w:rPr>
          <w:rFonts w:ascii="Times New Roman" w:cs="Times New Roman" w:eastAsia="Times New Roman" w:hAnsi="Times New Roman"/>
          <w:color w:val="434343"/>
          <w:sz w:val="24"/>
          <w:szCs w:val="24"/>
          <w:rtl w:val="0"/>
        </w:rPr>
        <w:t xml:space="preserve">Barbering is a skilled trade and workforce credential. When training options are limited and educational requirements are excessive, costs increase, workforce participation declines, and fewer Kentuckians have opportunities to start careers or small businesses. Kentucky has successfully pursued occupational-licensing reforms in other professions, and barbering presents another opportunity to reduce barriers while maintaining public-health and consumer-protection standards. Kentucky can reduce barriers by adding additional pathways, credentialing and adopting the Goldwater Institute’s Breaking Down Barriers to Work Act.   </w:t>
      </w:r>
    </w:p>
    <w:p w:rsidR="00000000" w:rsidDel="00000000" w:rsidP="00000000" w:rsidRDefault="00000000" w:rsidRPr="00000000" w14:paraId="00000005">
      <w:pPr>
        <w:pStyle w:val="Heading2"/>
        <w:keepNext w:val="0"/>
        <w:keepLines w:val="0"/>
        <w:spacing w:after="80" w:lineRule="auto"/>
        <w:rPr/>
      </w:pPr>
      <w:bookmarkStart w:colFirst="0" w:colLast="0" w:name="_heading=h.uz0enwcbw068" w:id="2"/>
      <w:bookmarkEnd w:id="2"/>
      <w:r w:rsidDel="00000000" w:rsidR="00000000" w:rsidRPr="00000000">
        <w:rPr>
          <w:rFonts w:ascii="Times New Roman" w:cs="Times New Roman" w:eastAsia="Times New Roman" w:hAnsi="Times New Roman"/>
          <w:b w:val="1"/>
          <w:bCs w:val="1"/>
          <w:color w:val="434343"/>
          <w:sz w:val="36"/>
          <w:szCs w:val="36"/>
          <w:rtl w:val="0"/>
        </w:rPr>
        <w:t xml:space="preserve">Goldwater Institute's Breaking Down Barriers to Work Initiative &amp; Right to Earn A Living Act</w:t>
      </w:r>
      <w:r w:rsidDel="00000000" w:rsidR="00000000" w:rsidRPr="00000000">
        <w:rPr>
          <w:rtl w:val="0"/>
        </w:rPr>
      </w:r>
    </w:p>
    <w:p w:rsidR="00000000" w:rsidDel="00000000" w:rsidP="00000000" w:rsidRDefault="00000000" w:rsidRPr="00000000" w14:paraId="00000006">
      <w:pPr>
        <w:keepNext w:val="0"/>
        <w:keepLines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Across the country, organizations such as the Goldwater Institute, have advanced occupational-licensing reforms based on a common premise: workers should not face unnecessary barriers to entering a profession when public safety can be protected through less restrictive means.</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occupational licensing is not to protect existing businesses, preserve educational monopolies, or limit competition. The purpose is to protect public health and safety.</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simple principle raises an important question for policymakers: what is the least burdensome requirement necessary to protect the public?</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Kentucky currently requires 1,500 hours of barbering education before an individual may pursue licensure. Yet the national average is closer to 1,200 hours, and many states require between 500 and 1,000 hours. Kentucky also has only a handful of licensed barbering schools serving more than 4.5 million residents, creating significant geographic and financial barriers for many prospective barbers, particularly in rural communities.</w:t>
      </w:r>
    </w:p>
    <w:p w:rsidR="00000000" w:rsidDel="00000000" w:rsidP="00000000" w:rsidRDefault="00000000" w:rsidRPr="00000000" w14:paraId="0000000A">
      <w:pPr>
        <w:spacing w:after="240" w:before="240" w:lineRule="auto"/>
        <w:rPr/>
      </w:pPr>
      <w:r w:rsidDel="00000000" w:rsidR="00000000" w:rsidRPr="00000000">
        <w:rPr>
          <w:rFonts w:ascii="Times New Roman" w:cs="Times New Roman" w:eastAsia="Times New Roman" w:hAnsi="Times New Roman"/>
          <w:sz w:val="24"/>
          <w:szCs w:val="24"/>
          <w:rtl w:val="0"/>
        </w:rPr>
        <w:t xml:space="preserve">If public health and safety can be protected through fewer classroom hours, competency-based training, apprenticeships, examinations, and supervised work experience, policymakers should ask whether existing requirements are more burdensome than necessary. This is the same principle embodied in the Right to Earn a Living Act: occupational regulations should be demonstrably necessary, carefully tailored, and no more restrictive than required to protect the public.</w:t>
      </w:r>
      <w:r w:rsidDel="00000000" w:rsidR="00000000" w:rsidRPr="00000000">
        <w:rPr>
          <w:rtl w:val="0"/>
        </w:rPr>
      </w:r>
    </w:p>
    <w:p w:rsidR="00000000" w:rsidDel="00000000" w:rsidP="00000000" w:rsidRDefault="00000000" w:rsidRPr="00000000" w14:paraId="0000000B">
      <w:pPr>
        <w:pStyle w:val="Heading2"/>
        <w:keepNext w:val="0"/>
        <w:keepLines w:val="0"/>
        <w:spacing w:after="240" w:before="240" w:lineRule="auto"/>
        <w:rPr>
          <w:rFonts w:ascii="Times New Roman" w:cs="Times New Roman" w:eastAsia="Times New Roman" w:hAnsi="Times New Roman"/>
          <w:color w:val="434343"/>
          <w:sz w:val="24"/>
          <w:szCs w:val="24"/>
        </w:rPr>
      </w:pPr>
      <w:bookmarkStart w:colFirst="0" w:colLast="0" w:name="_heading=h.fpsnl8av1hgo" w:id="3"/>
      <w:bookmarkEnd w:id="3"/>
      <w:r w:rsidDel="00000000" w:rsidR="00000000" w:rsidRPr="00000000">
        <w:rPr>
          <w:rFonts w:ascii="Times New Roman" w:cs="Times New Roman" w:eastAsia="Times New Roman" w:hAnsi="Times New Roman"/>
          <w:color w:val="434343"/>
          <w:sz w:val="24"/>
          <w:szCs w:val="24"/>
          <w:rtl w:val="0"/>
        </w:rPr>
        <w:t xml:space="preserve">The Goldwater Institute’s Breaking Down Barriers to Work Initiative has helped drive licensing reforms nationwide, including Universal Recognition of Occupational Licenses, which has now been adopted in more than half the states. The Institute for Justice has similarly documented how excessive licensing requirements often increase costs, reduce competition, limit entrepreneurship, and disproportionately burden individuals seeking economic mobility.</w:t>
      </w:r>
    </w:p>
    <w:p w:rsidR="00000000" w:rsidDel="00000000" w:rsidP="00000000" w:rsidRDefault="00000000" w:rsidRPr="00000000" w14:paraId="0000000C">
      <w:pPr>
        <w:pStyle w:val="Heading2"/>
        <w:keepNext w:val="0"/>
        <w:keepLines w:val="0"/>
        <w:spacing w:after="240" w:before="240" w:lineRule="auto"/>
        <w:rPr>
          <w:rFonts w:ascii="Times New Roman" w:cs="Times New Roman" w:eastAsia="Times New Roman" w:hAnsi="Times New Roman"/>
          <w:color w:val="434343"/>
          <w:sz w:val="24"/>
          <w:szCs w:val="24"/>
        </w:rPr>
      </w:pPr>
      <w:bookmarkStart w:colFirst="0" w:colLast="0" w:name="_heading=h.8uqs1q731aoj" w:id="4"/>
      <w:bookmarkEnd w:id="4"/>
      <w:r w:rsidDel="00000000" w:rsidR="00000000" w:rsidRPr="00000000">
        <w:rPr>
          <w:rFonts w:ascii="Times New Roman" w:cs="Times New Roman" w:eastAsia="Times New Roman" w:hAnsi="Times New Roman"/>
          <w:color w:val="434343"/>
          <w:sz w:val="24"/>
          <w:szCs w:val="24"/>
          <w:rtl w:val="0"/>
        </w:rPr>
        <w:t xml:space="preserve">These reforms do not eliminate standards. Instead, they seek to ensure that regulations are tied directly to legitimate public-health and safety objectives and that workers have multiple pathways to demonstrate competency.</w:t>
      </w:r>
    </w:p>
    <w:p w:rsidR="00000000" w:rsidDel="00000000" w:rsidP="00000000" w:rsidRDefault="00000000" w:rsidRPr="00000000" w14:paraId="0000000D">
      <w:pPr>
        <w:pStyle w:val="Heading2"/>
        <w:keepNext w:val="0"/>
        <w:keepLines w:val="0"/>
        <w:spacing w:after="80" w:lineRule="auto"/>
        <w:rPr>
          <w:rFonts w:ascii="Times New Roman" w:cs="Times New Roman" w:eastAsia="Times New Roman" w:hAnsi="Times New Roman"/>
          <w:color w:val="434343"/>
          <w:sz w:val="24"/>
          <w:szCs w:val="24"/>
        </w:rPr>
      </w:pPr>
      <w:r w:rsidDel="00000000" w:rsidR="00000000" w:rsidRPr="00000000">
        <w:rPr>
          <w:rFonts w:ascii="Times New Roman" w:cs="Times New Roman" w:eastAsia="Times New Roman" w:hAnsi="Times New Roman"/>
          <w:color w:val="434343"/>
          <w:sz w:val="24"/>
          <w:szCs w:val="24"/>
          <w:rtl w:val="0"/>
        </w:rPr>
        <w:t xml:space="preserve">The Goldwater Institute's Breaking Down Barriers to Work Initiative seeks to modernize occupational licensing by ensuring that the government protects public health and safety without creating unnecessary barriers to employment. The initiative promotes reforms that expand apprenticeship opportunities, recognize competency-based training, reduce excessive licensing requirements, and increase workforce participation.</w:t>
      </w:r>
    </w:p>
    <w:p w:rsidR="00000000" w:rsidDel="00000000" w:rsidP="00000000" w:rsidRDefault="00000000" w:rsidRPr="00000000" w14:paraId="0000000E">
      <w:pPr>
        <w:spacing w:after="280" w:before="280" w:lineRule="auto"/>
        <w:rPr>
          <w:rFonts w:ascii="Times New Roman" w:cs="Times New Roman" w:eastAsia="Times New Roman" w:hAnsi="Times New Roman"/>
          <w:color w:val="434343"/>
          <w:sz w:val="24"/>
          <w:szCs w:val="24"/>
        </w:rPr>
      </w:pPr>
      <w:r w:rsidDel="00000000" w:rsidR="00000000" w:rsidRPr="00000000">
        <w:rPr>
          <w:rFonts w:ascii="Times New Roman" w:cs="Times New Roman" w:eastAsia="Times New Roman" w:hAnsi="Times New Roman"/>
          <w:color w:val="434343"/>
          <w:sz w:val="24"/>
          <w:szCs w:val="24"/>
          <w:rtl w:val="0"/>
        </w:rPr>
        <w:t xml:space="preserve">One of Goldwater's most successful reforms is Universal Recognition of Occupational Licenses, which allows qualified professionals licensed in another state to obtain licensure without duplicative education, training, testing, or bureaucratic delays. More than 25 states have adopted some form of universal recognition, helping workers move more freely, fill workforce shortages, and enter licensed professions more quickly.</w:t>
      </w:r>
    </w:p>
    <w:p w:rsidR="00000000" w:rsidDel="00000000" w:rsidP="00000000" w:rsidRDefault="00000000" w:rsidRPr="00000000" w14:paraId="0000000F">
      <w:pPr>
        <w:pStyle w:val="Heading2"/>
        <w:keepNext w:val="0"/>
        <w:keepLines w:val="0"/>
        <w:spacing w:after="80" w:lineRule="auto"/>
        <w:rPr>
          <w:rFonts w:ascii="Times New Roman" w:cs="Times New Roman" w:eastAsia="Times New Roman" w:hAnsi="Times New Roman"/>
          <w:b w:val="1"/>
          <w:bCs w:val="1"/>
          <w:color w:val="434343"/>
        </w:rPr>
      </w:pPr>
      <w:bookmarkStart w:colFirst="0" w:colLast="0" w:name="_heading=h.4ngry5rh8dik" w:id="5"/>
      <w:bookmarkEnd w:id="5"/>
      <w:r w:rsidDel="00000000" w:rsidR="00000000" w:rsidRPr="00000000">
        <w:rPr>
          <w:rFonts w:ascii="Times New Roman" w:cs="Times New Roman" w:eastAsia="Times New Roman" w:hAnsi="Times New Roman"/>
          <w:b w:val="1"/>
          <w:bCs w:val="1"/>
          <w:color w:val="434343"/>
          <w:rtl w:val="0"/>
        </w:rPr>
        <w:t xml:space="preserve">Expanding Apprenticeship and Workforce Training Pathways</w:t>
      </w:r>
    </w:p>
    <w:p w:rsidR="00000000" w:rsidDel="00000000" w:rsidP="00000000" w:rsidRDefault="00000000" w:rsidRPr="00000000" w14:paraId="00000010">
      <w:pPr>
        <w:spacing w:after="280" w:before="280" w:lineRule="auto"/>
        <w:rPr>
          <w:rFonts w:ascii="Times New Roman" w:cs="Times New Roman" w:eastAsia="Times New Roman" w:hAnsi="Times New Roman"/>
          <w:color w:val="434343"/>
          <w:sz w:val="24"/>
          <w:szCs w:val="24"/>
        </w:rPr>
      </w:pPr>
      <w:r w:rsidDel="00000000" w:rsidR="00000000" w:rsidRPr="00000000">
        <w:rPr>
          <w:rFonts w:ascii="Times New Roman" w:cs="Times New Roman" w:eastAsia="Times New Roman" w:hAnsi="Times New Roman"/>
          <w:color w:val="434343"/>
          <w:sz w:val="24"/>
          <w:szCs w:val="24"/>
          <w:rtl w:val="0"/>
        </w:rPr>
        <w:t xml:space="preserve">Kentucky already recognizes apprenticeship concepts in barbering, but current law treats apprenticeship as a supplement to the traditional educational pathway rather than as a true alternative pathway into the profession. A stronger approach would recognize supervised, competency-based training as a valid way to satisfy educational requirements for licensure.</w:t>
      </w:r>
    </w:p>
    <w:p w:rsidR="00000000" w:rsidDel="00000000" w:rsidP="00000000" w:rsidRDefault="00000000" w:rsidRPr="00000000" w14:paraId="00000011">
      <w:pPr>
        <w:spacing w:after="280" w:before="280" w:lineRule="auto"/>
        <w:rPr>
          <w:rFonts w:ascii="Times New Roman" w:cs="Times New Roman" w:eastAsia="Times New Roman" w:hAnsi="Times New Roman"/>
          <w:color w:val="434343"/>
          <w:sz w:val="24"/>
          <w:szCs w:val="24"/>
        </w:rPr>
      </w:pPr>
      <w:r w:rsidDel="00000000" w:rsidR="00000000" w:rsidRPr="00000000">
        <w:rPr>
          <w:rFonts w:ascii="Times New Roman" w:cs="Times New Roman" w:eastAsia="Times New Roman" w:hAnsi="Times New Roman"/>
          <w:color w:val="434343"/>
          <w:sz w:val="24"/>
          <w:szCs w:val="24"/>
          <w:rtl w:val="0"/>
        </w:rPr>
        <w:t xml:space="preserve">The General Assembly can build on this concept by leveraging Kentucky's existing workforce-development infrastructure. KRS Chapter 164 grants the Council on Postsecondary Education broad authority over workforce development, credential attainment, and postsecondary program approval, while community colleges were created specifically to provide technical and workforce education.</w:t>
      </w:r>
    </w:p>
    <w:p w:rsidR="00000000" w:rsidDel="00000000" w:rsidP="00000000" w:rsidRDefault="00000000" w:rsidRPr="00000000" w14:paraId="00000012">
      <w:pPr>
        <w:spacing w:after="280" w:before="280" w:lineRule="auto"/>
        <w:rPr>
          <w:rFonts w:ascii="Times New Roman" w:cs="Times New Roman" w:eastAsia="Times New Roman" w:hAnsi="Times New Roman"/>
          <w:color w:val="434343"/>
          <w:sz w:val="24"/>
          <w:szCs w:val="24"/>
        </w:rPr>
      </w:pPr>
      <w:r w:rsidDel="00000000" w:rsidR="00000000" w:rsidRPr="00000000">
        <w:rPr>
          <w:rFonts w:ascii="Times New Roman" w:cs="Times New Roman" w:eastAsia="Times New Roman" w:hAnsi="Times New Roman"/>
          <w:color w:val="434343"/>
          <w:sz w:val="24"/>
          <w:szCs w:val="24"/>
          <w:rtl w:val="0"/>
        </w:rPr>
        <w:t xml:space="preserve">Similar to the cosmetology programs at KCTCS community campuses, a complementary pathway (similar to VA, LA, WI, NC, could allow CPE-approved barbering certificates, diplomas, or apprenticeship programs through higher education and public institutions to satisfy barbering's educational requirements. The Kentucky Board of Barbering would continue to oversee licensure, examinations, sanitation standards, inspections, and enforcement. Public institutions would focus on education, workforce training, and credential attainment.</w:t>
      </w:r>
    </w:p>
    <w:p w:rsidR="00000000" w:rsidDel="00000000" w:rsidP="00000000" w:rsidRDefault="00000000" w:rsidRPr="00000000" w14:paraId="00000013">
      <w:pPr>
        <w:spacing w:after="280" w:before="280" w:lineRule="auto"/>
        <w:rPr>
          <w:rFonts w:ascii="Times New Roman" w:cs="Times New Roman" w:eastAsia="Times New Roman" w:hAnsi="Times New Roman"/>
          <w:color w:val="434343"/>
          <w:sz w:val="24"/>
          <w:szCs w:val="24"/>
        </w:rPr>
      </w:pPr>
      <w:r w:rsidDel="00000000" w:rsidR="00000000" w:rsidRPr="00000000">
        <w:rPr>
          <w:rFonts w:ascii="Times New Roman" w:cs="Times New Roman" w:eastAsia="Times New Roman" w:hAnsi="Times New Roman"/>
          <w:color w:val="434343"/>
          <w:sz w:val="24"/>
          <w:szCs w:val="24"/>
          <w:rtl w:val="0"/>
        </w:rPr>
        <w:t xml:space="preserve">Expand training capacity, increase competition among providers, improve access in underserved and rural communities, and create additional affordable pathways into the profession while preserving the Board's regulatory authority. It would also provide policymakers with a practical safeguard: if one pathway becomes too narrow, expensive, or inaccessible, Kentucky's public workforce-development system can help ensure qualified workers still have a fair opportunity to enter the profession.</w:t>
      </w:r>
    </w:p>
    <w:p w:rsidR="00000000" w:rsidDel="00000000" w:rsidP="00000000" w:rsidRDefault="00000000" w:rsidRPr="00000000" w14:paraId="00000014">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after="280" w:before="280" w:lineRule="auto"/>
        <w:rPr>
          <w:rFonts w:ascii="Times New Roman" w:cs="Times New Roman" w:eastAsia="Times New Roman" w:hAnsi="Times New Roman"/>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BcTsQiS17Gbl3rMktFfuMMP0gQ==">CgMxLjAyDmgubThpN3dsYmNlbzJ3Mg5oLmE0eXNubm4wa2hpcTIOaC51ejBlbndjYncwNjgyDmguZnBzbmw4YXYxaGdvMg5oLjh1cXMxcTczMWFvajIOaC40bmdyeTVyaDhkaWs4AHIhMVhId3N0ZzBadEgzUXZkREc1X05KM0RtcnNtaGVzei11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