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acfe205b9e4899" /></Relationships>
</file>

<file path=word/document.xml><?xml version="1.0" encoding="utf-8"?>
<w:document xmlns:w="http://schemas.openxmlformats.org/wordprocessingml/2006/main">
  <w:body>
    <w:p>
      <w:pPr>
        <w:pStyle w:val="kar_citation"/>
      </w:pPr>
      <w:r>
        <w:t>1 KAR 6:020.</w:t>
      </w:r>
      <w:r>
        <w:t xml:space="preserve"> </w:t>
      </w:r>
      <w:r>
        <w:t xml:space="preserve">Policies and procedures.</w:t>
      </w:r>
    </w:p>
    <w:p>
      <w:pPr>
        <w:pStyle w:val="kar_markup_metadata"/>
      </w:pPr>
      <w:r>
        <w:t xml:space="preserve">RELATES TO: </w:t>
      </w:r>
      <w:r>
        <w:t xml:space="preserve">KRS Chapter 7A</w:t>
      </w:r>
    </w:p>
    <w:p>
      <w:pPr>
        <w:pStyle w:val="kar_markup_metadata"/>
      </w:pPr>
      <w:r>
        <w:t xml:space="preserve">STATUTORY AUTHORITY: </w:t>
      </w:r>
      <w:r>
        <w:t xml:space="preserve">KRS 7A.140</w:t>
      </w:r>
    </w:p>
    <w:p>
      <w:pPr>
        <w:pStyle w:val="kar_markup_metadata"/>
      </w:pPr>
      <w:r>
        <w:t xml:space="preserve">NECESSITY, FUNCTION, AND CONFORMITY: </w:t>
      </w:r>
      <w:r>
        <w:t xml:space="preserve">KRS 7A.140 authorizes the Capital Planning Advisory Board to adopt any administrative regulations necessary to carry out its planning and advisory functions. The purpose of this administrative regulation is to establish the policies and procedures for the capital planning process.</w:t>
      </w:r>
    </w:p>
    <w:p>
      <w:pPr>
        <w:pStyle w:val="kar_section"/>
      </w:pPr>
      <w:r>
        <w:t xml:space="preserve">Section 1.</w:t>
      </w:r>
      <w:r>
        <w:t xml:space="preserve"> </w:t>
      </w:r>
      <w:r>
        <w:t xml:space="preserve">State agencies and institutions of public higher education shall submit information specified by the board in the document entitled "Six-Year Capital Plan Instructions." This document is incorporated by reference and may be reviewed or obtained at the office of the Capital Planning Advisory Board, Room 002, Capitol Annex, Frankfort, Kentucky 40601, Monday through Friday from 8 a.m. to 4:30 p.m. (ET).</w:t>
      </w:r>
    </w:p>
    <w:p>
      <w:pPr>
        <w:pStyle w:val="kar_section"/>
      </w:pPr>
      <w:r>
        <w:t xml:space="preserve">Section 2.</w:t>
      </w:r>
      <w:r>
        <w:t xml:space="preserve"> </w:t>
      </w:r>
      <w:r>
        <w:t xml:space="preserve">Agencies providing information to the Kentucky Information Systems Commission pursuant to KRS 61.950 shall not be required to provide that information directly to the board.</w:t>
      </w:r>
    </w:p>
    <w:p>
      <w:pPr>
        <w:pStyle w:val="kar_subsection"/>
      </w:pPr>
      <w:r>
        <w:t xml:space="preserve">(1)</w:t>
      </w:r>
      <w:r>
        <w:t xml:space="preserve"> </w:t>
      </w:r>
      <w:r>
        <w:t xml:space="preserve">The Kentucky Information Systems Commission shall provide the board with the following information by July 1 of each odd-numbered year:</w:t>
      </w:r>
    </w:p>
    <w:p>
      <w:pPr>
        <w:pStyle w:val="kar_paragraph"/>
      </w:pPr>
      <w:r>
        <w:t xml:space="preserve">(a)</w:t>
      </w:r>
      <w:r>
        <w:t xml:space="preserve"> </w:t>
      </w:r>
      <w:r>
        <w:t xml:space="preserve">List and approval or disapproval status of all submitted computing and communications items or systems having capital project status;</w:t>
      </w:r>
    </w:p>
    <w:p>
      <w:pPr>
        <w:pStyle w:val="kar_paragraph"/>
      </w:pPr>
      <w:r>
        <w:t xml:space="preserve">(b)</w:t>
      </w:r>
      <w:r>
        <w:t xml:space="preserve"> </w:t>
      </w:r>
      <w:r>
        <w:t xml:space="preserve">List of selected computing and communications items or systems having capital project status on which the Kentucky Information Systems Commission places high value; and</w:t>
      </w:r>
    </w:p>
    <w:p>
      <w:pPr>
        <w:pStyle w:val="kar_paragraph"/>
      </w:pPr>
      <w:r>
        <w:t xml:space="preserve">(c)</w:t>
      </w:r>
      <w:r>
        <w:t xml:space="preserve"> </w:t>
      </w:r>
      <w:r>
        <w:t xml:space="preserve">Report of any statewide initiatives involving multiple-agency projects for which the Kentucky Information Systems Commission seeks the support and endorsement of the board.</w:t>
      </w:r>
    </w:p>
    <w:p>
      <w:pPr>
        <w:pStyle w:val="kar_subsection"/>
      </w:pPr>
      <w:r>
        <w:t xml:space="preserve">(2)</w:t>
      </w:r>
      <w:r>
        <w:t xml:space="preserve"> </w:t>
      </w:r>
      <w:r>
        <w:t xml:space="preserve">The board may use the information received from the Kentucky Information Systems Commission in the formulation of the board's statewide six (6) year capital improvements plan.</w:t>
      </w:r>
    </w:p>
    <w:p>
      <w:pPr>
        <w:pStyle w:val="kar_section"/>
      </w:pPr>
      <w:r>
        <w:t xml:space="preserve">Section 3.</w:t>
      </w:r>
      <w:r>
        <w:t xml:space="preserve"> </w:t>
      </w:r>
      <w:r>
        <w:t xml:space="preserve">As provided in KRS 164.020(5), the Council on Higher Education shall consider the requirements and review the six (6) year capital plans of the institutions of public higher education. The plans shall be prepared in the manner and submitted by the institutions to the council by dates prescribed by the board. The institutions' individual six (6) year capital plans, along with the council's system capital plan for higher education, shall be submitted to the board by April 15 of each odd-numbered year.</w:t>
      </w:r>
    </w:p>
    <w:p>
      <w:pPr>
        <w:pStyle w:val="kar_section"/>
      </w:pPr>
      <w:r>
        <w:t xml:space="preserve">Section 4.</w:t>
      </w:r>
      <w:r>
        <w:t xml:space="preserve"> </w:t>
      </w:r>
      <w:r>
        <w:t xml:space="preserve">The board shall exclude road projects from its information request. Instead, the board shall accept, for review only, the Biennial Highway Construction Program developed by the Transportation Cabinet pursuant to KRS Chapters 45 and 48, and the additional four (4) year highway construction plan developed pursuant to KRS Chapter 176.</w:t>
      </w:r>
    </w:p>
    <w:p>
      <w:pPr>
        <w:pStyle w:val="kar_subsection"/>
      </w:pPr>
      <w:r>
        <w:t xml:space="preserve">(1)</w:t>
      </w:r>
      <w:r>
        <w:t xml:space="preserve"> </w:t>
      </w:r>
      <w:r>
        <w:t xml:space="preserve">The Transportation Cabinet shall submit to the board copies of the recommended updates to the most recently enacted Biennial Highway Construction Program and the additional four (4) year highway construction plan by July 15 of each odd-numbered year.</w:t>
      </w:r>
    </w:p>
    <w:p>
      <w:pPr>
        <w:pStyle w:val="kar_subsection"/>
      </w:pPr>
      <w:r>
        <w:t xml:space="preserve">(2)</w:t>
      </w:r>
      <w:r>
        <w:t xml:space="preserve"> </w:t>
      </w:r>
      <w:r>
        <w:t xml:space="preserve">The board may use the information received from the Transportation Cabinet in the formulation of the board's statewide six (6) year capital improvements plan.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1231; 1524; eff. 1-4-1993; Crt eff. 2-19-2020.)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32d0f8dbdb4afb" /><Relationship Type="http://schemas.openxmlformats.org/officeDocument/2006/relationships/settings" Target="/word/settings.xml" Id="R2dce44ce6fb649fc" /></Relationships>
</file>