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7f207143e64769" /></Relationships>
</file>

<file path=word/document.xml><?xml version="1.0" encoding="utf-8"?>
<w:document xmlns:w="http://schemas.openxmlformats.org/wordprocessingml/2006/main">
  <w:body>
    <w:p>
      <w:pPr>
        <w:pStyle w:val="kar_citation"/>
      </w:pPr>
      <w:r>
        <w:t>922 KAR 1:520.</w:t>
      </w:r>
      <w:r>
        <w:t xml:space="preserve"> </w:t>
      </w:r>
      <w:r>
        <w:t xml:space="preserve">Supplements to per diem rates.</w:t>
      </w:r>
    </w:p>
    <w:p>
      <w:pPr>
        <w:pStyle w:val="kar_markup_metadata"/>
      </w:pPr>
      <w:r>
        <w:t xml:space="preserve">RELATES TO: </w:t>
      </w:r>
      <w:r>
        <w:t xml:space="preserve">KRS 2.015, 199.011(4), (10), 200.115(1), 600.020(9), (30), 605.120(2), 610.110(6), 620.020(1), 620.140(1)(d), 42 U.S.C. 672</w:t>
      </w:r>
    </w:p>
    <w:p>
      <w:pPr>
        <w:pStyle w:val="kar_markup_metadata"/>
      </w:pPr>
      <w:r>
        <w:t xml:space="preserve">STATUTORY AUTHORITY: </w:t>
      </w:r>
      <w:r>
        <w:t xml:space="preserve">KRS 194A.050(1), 605.120(2)</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In addition, Olmstead v. L.C. and E.W., 119 S. Ct. 2176 (1999), held that unnecessary institutionalization of a person with a disability may be a violation of the Americans with Disabilities Act of 1990, 3 U.S.C. 421 and that, given certain exceptions, services should be delivered in the most integrated setting appropriate to the treatment needs of a person with a disability. This administrative regulation establishes the requirements for a foster home to receive a high-risk or parenting youth supplement reimbursement, to the extent funds are available, for extraordinary care the foster home provides to a child with exceptional needs, or a parenting youth, who is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"Case permanency plan" is defined by KRS 620.020(1).</w:t>
      </w:r>
    </w:p>
    <w:p>
      <w:pPr>
        <w:pStyle w:val="kar_subsection"/>
      </w:pPr>
      <w:r>
        <w:t xml:space="preserve">(2)</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(3)</w:t>
      </w:r>
      <w:r>
        <w:t xml:space="preserve"> </w:t>
      </w:r>
      <w:r>
        <w:t xml:space="preserve">"Crisis" means a factor or set of factors that:</w:t>
      </w:r>
    </w:p>
    <w:p>
      <w:pPr>
        <w:pStyle w:val="kar_paragraph"/>
      </w:pPr>
      <w:r>
        <w:t xml:space="preserve">(a)</w:t>
      </w:r>
      <w:r>
        <w:t xml:space="preserve"> </w:t>
      </w:r>
      <w:r>
        <w:t xml:space="preserve">Jeopardizes a child's placement in a home; and</w:t>
      </w:r>
    </w:p>
    <w:p>
      <w:pPr>
        <w:pStyle w:val="kar_paragraph"/>
      </w:pPr>
      <w:r>
        <w:t xml:space="preserve">(b)</w:t>
      </w:r>
      <w:r>
        <w:t xml:space="preserve"> </w:t>
      </w:r>
      <w:r>
        <w:t xml:space="preserve">Creates a risk for removal of the child from the home to a more restrictive setting, including institutionalization.</w:t>
      </w:r>
    </w:p>
    <w:p>
      <w:pPr>
        <w:pStyle w:val="kar_subsection"/>
      </w:pPr>
      <w:r>
        <w:t xml:space="preserve">(4)</w:t>
      </w:r>
      <w:r>
        <w:t xml:space="preserve"> </w:t>
      </w:r>
      <w:r>
        <w:t xml:space="preserve">"Exceptional needs" means the needs of a child:</w:t>
      </w:r>
    </w:p>
    <w:p>
      <w:pPr>
        <w:pStyle w:val="kar_paragraph"/>
      </w:pPr>
      <w:r>
        <w:t xml:space="preserve">(a)</w:t>
      </w:r>
      <w:r>
        <w:t xml:space="preserve"> </w:t>
      </w:r>
      <w:r>
        <w:t xml:space="preserve">As specified in Section 2(2) or 4 of this administrative regulation; and</w:t>
      </w:r>
    </w:p>
    <w:p>
      <w:pPr>
        <w:pStyle w:val="kar_paragraph"/>
      </w:pPr>
      <w:r>
        <w:t xml:space="preserve">(b)</w:t>
      </w:r>
      <w:r>
        <w:t xml:space="preserve"> </w:t>
      </w:r>
      <w:r>
        <w:t xml:space="preserve">Reimbursed in accordance with KRS 605.120(2).</w:t>
      </w:r>
    </w:p>
    <w:p>
      <w:pPr>
        <w:pStyle w:val="kar_subsection"/>
      </w:pPr>
      <w:r>
        <w:t xml:space="preserve">(5)</w:t>
      </w:r>
      <w:r>
        <w:t xml:space="preserve"> </w:t>
      </w:r>
      <w:r>
        <w:t xml:space="preserve">"Extraordinary care" means services:</w:t>
      </w:r>
    </w:p>
    <w:p>
      <w:pPr>
        <w:pStyle w:val="kar_paragraph"/>
      </w:pPr>
      <w:r>
        <w:t xml:space="preserve">(a)</w:t>
      </w:r>
      <w:r>
        <w:t xml:space="preserve"> </w:t>
      </w:r>
      <w:r>
        <w:t xml:space="preserve">Provided to a child with exceptional needs in the custody of the cabinet; and</w:t>
      </w:r>
    </w:p>
    <w:p>
      <w:pPr>
        <w:pStyle w:val="kar_paragraph"/>
      </w:pPr>
      <w:r>
        <w:t xml:space="preserve">(b)</w:t>
      </w:r>
      <w:r>
        <w:t xml:space="preserve"> </w:t>
      </w:r>
      <w:r>
        <w:t xml:space="preserve">That exceed a regular per diem, as established in 922 KAR 1:350, Section 10.</w:t>
      </w:r>
    </w:p>
    <w:p>
      <w:pPr>
        <w:pStyle w:val="kar_subsection"/>
      </w:pPr>
      <w:r>
        <w:t xml:space="preserve">(6)</w:t>
      </w:r>
      <w:r>
        <w:t xml:space="preserve"> </w:t>
      </w:r>
      <w:r>
        <w:t xml:space="preserve">"Family team meeting" means a meeting convened to develop a child's case permanency plan to successfully attain the desired outcomes for the child and family.</w:t>
      </w:r>
    </w:p>
    <w:p>
      <w:pPr>
        <w:pStyle w:val="kar_subsection"/>
      </w:pPr>
      <w:r>
        <w:t xml:space="preserve">(7)</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 individual approved as a foster parent by the cabinet pursuant to 922 KAR 1:310 or 922 KAR 1:350, if referring to an individual.</w:t>
      </w:r>
    </w:p>
    <w:p>
      <w:pPr>
        <w:pStyle w:val="kar_subsection"/>
      </w:pPr>
      <w:r>
        <w:t xml:space="preserve">(8)</w:t>
      </w:r>
      <w:r>
        <w:t xml:space="preserve"> </w:t>
      </w:r>
      <w:r>
        <w:t xml:space="preserve">"High-risk supplement" means a reimbursement to a foster home that is necessary to cover an additional expense associated with the provision of extraordinary care.</w:t>
      </w:r>
    </w:p>
    <w:p>
      <w:pPr>
        <w:pStyle w:val="kar_subsection"/>
      </w:pPr>
      <w:r>
        <w:t xml:space="preserve">(9)</w:t>
      </w:r>
      <w:r>
        <w:t xml:space="preserve"> </w:t>
      </w:r>
      <w:r>
        <w:t xml:space="preserve">"Parenting youth supplement" means a daily supplement to the per diem that is necessary to cover an additional expense associated with a youth who is placed with and has custody of their own child.</w:t>
      </w:r>
    </w:p>
    <w:p>
      <w:pPr>
        <w:pStyle w:val="kar_subsection"/>
      </w:pPr>
      <w:r>
        <w:t xml:space="preserve">(10)</w:t>
      </w:r>
      <w:r>
        <w:t xml:space="preserve"> </w:t>
      </w:r>
      <w:r>
        <w:t xml:space="preserve">"Transition" means the period of a child's adjustment from a more restrictive out-of-home care placement to a foster home.</w:t>
      </w:r>
    </w:p>
    <w:p>
      <w:pPr>
        <w:pStyle w:val="kar_section"/>
      </w:pPr>
      <w:r>
        <w:t xml:space="preserve">Section 2.</w:t>
      </w:r>
      <w:r>
        <w:t xml:space="preserve"> </w:t>
      </w:r>
      <w:r>
        <w:t xml:space="preserve">High-risk supplement.</w:t>
      </w:r>
    </w:p>
    <w:p>
      <w:pPr>
        <w:pStyle w:val="kar_subsection"/>
      </w:pPr>
      <w:r>
        <w:t xml:space="preserve">(1)</w:t>
      </w:r>
      <w:r>
        <w:t xml:space="preserve"> </w:t>
      </w:r>
      <w:r>
        <w:t xml:space="preserve">To the extent funds are available, the cabinet shall reimburse a foster home for the extraordinary care provided to a child with exceptional needs.</w:t>
      </w:r>
    </w:p>
    <w:p>
      <w:pPr>
        <w:pStyle w:val="kar_subsection"/>
      </w:pPr>
      <w:r>
        <w:t xml:space="preserve">(2)</w:t>
      </w:r>
      <w:r>
        <w:t xml:space="preserve"> </w:t>
      </w:r>
      <w:r>
        <w:t xml:space="preserve">The cabinet shall consider a child eligible for a high-risk supplement if:</w:t>
      </w:r>
    </w:p>
    <w:p>
      <w:pPr>
        <w:pStyle w:val="kar_paragraph"/>
      </w:pPr>
      <w:r>
        <w:t xml:space="preserve">(a)</w:t>
      </w:r>
      <w:r>
        <w:t xml:space="preserve"> </w:t>
      </w:r>
    </w:p>
    <w:p>
      <w:pPr>
        <w:pStyle w:val="kar_subparagraph"/>
      </w:pPr>
      <w:r>
        <w:t xml:space="preserve">1.</w:t>
      </w:r>
      <w:r>
        <w:t xml:space="preserve"> </w:t>
      </w:r>
      <w:r>
        <w:t xml:space="preserve">Community resources meet the child's needs; and</w:t>
      </w:r>
    </w:p>
    <w:p>
      <w:pPr>
        <w:pStyle w:val="kar_subparagraph"/>
      </w:pPr>
      <w:r>
        <w:t xml:space="preserve">2.</w:t>
      </w:r>
      <w:r>
        <w:t xml:space="preserve"> </w:t>
      </w:r>
      <w:r>
        <w:t xml:space="preserve">The child requires services consistent with Level IV or Level V care established in 922 KAR 1:360, Section 4;</w:t>
      </w:r>
    </w:p>
    <w:p>
      <w:pPr>
        <w:pStyle w:val="kar_paragraph"/>
      </w:pPr>
      <w:r>
        <w:t xml:space="preserve">(b)</w:t>
      </w:r>
      <w:r>
        <w:t xml:space="preserve"> </w:t>
      </w:r>
      <w:r>
        <w:t xml:space="preserve">The child is placed in a medically complex or care plus foster home in accordance with 922 KAR 1:350;</w:t>
      </w:r>
    </w:p>
    <w:p>
      <w:pPr>
        <w:pStyle w:val="kar_paragraph"/>
      </w:pPr>
      <w:r>
        <w:t xml:space="preserve">(c)</w:t>
      </w:r>
      <w:r>
        <w:t xml:space="preserve"> </w:t>
      </w:r>
      <w:r>
        <w:t xml:space="preserve">A child has a need for extraordinary care due to a:</w:t>
      </w:r>
    </w:p>
    <w:p>
      <w:pPr>
        <w:pStyle w:val="kar_subparagraph"/>
      </w:pPr>
      <w:r>
        <w:t xml:space="preserve">1.</w:t>
      </w:r>
      <w:r>
        <w:t xml:space="preserve"> </w:t>
      </w:r>
      <w:r>
        <w:t xml:space="preserve">Transition; or</w:t>
      </w:r>
    </w:p>
    <w:p>
      <w:pPr>
        <w:pStyle w:val="kar_subparagraph"/>
      </w:pPr>
      <w:r>
        <w:t xml:space="preserve">2.</w:t>
      </w:r>
      <w:r>
        <w:t xml:space="preserve"> </w:t>
      </w:r>
      <w:r>
        <w:t xml:space="preserve">Crisis;</w:t>
      </w:r>
    </w:p>
    <w:p>
      <w:pPr>
        <w:pStyle w:val="kar_paragraph"/>
      </w:pPr>
      <w:r>
        <w:t xml:space="preserve">(d)</w:t>
      </w:r>
      <w:r>
        <w:t xml:space="preserve"> </w:t>
      </w:r>
      <w:r>
        <w:t xml:space="preserve">A family team meeting is held to:</w:t>
      </w:r>
    </w:p>
    <w:p>
      <w:pPr>
        <w:pStyle w:val="kar_subparagraph"/>
      </w:pPr>
      <w:r>
        <w:t xml:space="preserve">1.</w:t>
      </w:r>
      <w:r>
        <w:t xml:space="preserve"> </w:t>
      </w:r>
      <w:r>
        <w:t xml:space="preserve">Complete a "DPP-111B, High-Risk Supplement Assessment"; and</w:t>
      </w:r>
    </w:p>
    <w:p>
      <w:pPr>
        <w:pStyle w:val="kar_subparagraph"/>
      </w:pPr>
      <w:r>
        <w:t xml:space="preserve">2.</w:t>
      </w:r>
      <w:r>
        <w:t xml:space="preserve"> </w:t>
      </w:r>
      <w:r>
        <w:t xml:space="preserve">Include the following individuals:</w:t>
      </w:r>
    </w:p>
    <w:p>
      <w:pPr>
        <w:pStyle w:val="kar_clause"/>
      </w:pPr>
      <w:r>
        <w:t xml:space="preserve">a.</w:t>
      </w:r>
      <w:r>
        <w:t xml:space="preserve"> </w:t>
      </w:r>
      <w:r>
        <w:t xml:space="preserve">Designated regional cabinet staff;</w:t>
      </w:r>
    </w:p>
    <w:p>
      <w:pPr>
        <w:pStyle w:val="kar_clause"/>
      </w:pPr>
      <w:r>
        <w:t xml:space="preserve">b.</w:t>
      </w:r>
      <w:r>
        <w:t xml:space="preserve"> </w:t>
      </w:r>
      <w:r>
        <w:t xml:space="preserve">Family members, including the child or a sibling;</w:t>
      </w:r>
    </w:p>
    <w:p>
      <w:pPr>
        <w:pStyle w:val="kar_clause"/>
      </w:pPr>
      <w:r>
        <w:t xml:space="preserve">c.</w:t>
      </w:r>
      <w:r>
        <w:t xml:space="preserve"> </w:t>
      </w:r>
      <w:r>
        <w:t xml:space="preserve">Family friends;</w:t>
      </w:r>
    </w:p>
    <w:p>
      <w:pPr>
        <w:pStyle w:val="kar_clause"/>
      </w:pPr>
      <w:r>
        <w:t xml:space="preserve">d.</w:t>
      </w:r>
      <w:r>
        <w:t xml:space="preserve"> </w:t>
      </w:r>
      <w:r>
        <w:t xml:space="preserve">Community partners;</w:t>
      </w:r>
    </w:p>
    <w:p>
      <w:pPr>
        <w:pStyle w:val="kar_clause"/>
      </w:pPr>
      <w:r>
        <w:t xml:space="preserve">e.</w:t>
      </w:r>
      <w:r>
        <w:t xml:space="preserve"> </w:t>
      </w:r>
      <w:r>
        <w:t xml:space="preserve">Foster parents; or</w:t>
      </w:r>
    </w:p>
    <w:p>
      <w:pPr>
        <w:pStyle w:val="kar_clause"/>
      </w:pPr>
      <w:r>
        <w:t xml:space="preserve">f.</w:t>
      </w:r>
      <w:r>
        <w:t xml:space="preserve"> </w:t>
      </w:r>
      <w:r>
        <w:t xml:space="preserve">Other individuals requested by the family or cabinet staff; and</w:t>
      </w:r>
    </w:p>
    <w:p>
      <w:pPr>
        <w:pStyle w:val="kar_paragraph"/>
      </w:pPr>
      <w:r>
        <w:t xml:space="preserve">(e)</w:t>
      </w:r>
      <w:r>
        <w:t xml:space="preserve"> </w:t>
      </w:r>
      <w:r>
        <w:t xml:space="preserve">The foster home agrees to maintain a monthly log of the services provided to the child for the duration of the high-risk supplement.</w:t>
      </w:r>
    </w:p>
    <w:p>
      <w:pPr>
        <w:pStyle w:val="kar_subsection"/>
      </w:pPr>
      <w:r>
        <w:t xml:space="preserve">(3)</w:t>
      </w:r>
      <w:r>
        <w:t xml:space="preserve"> </w:t>
      </w:r>
      <w:r>
        <w:t xml:space="preserve">If a child is eligible for the high-risk supplement:</w:t>
      </w:r>
    </w:p>
    <w:p>
      <w:pPr>
        <w:pStyle w:val="kar_paragraph"/>
      </w:pPr>
      <w:r>
        <w:t xml:space="preserve">(a)</w:t>
      </w:r>
      <w:r>
        <w:t xml:space="preserve"> </w:t>
      </w:r>
      <w:r>
        <w:t xml:space="preserve">Designated regional cabinet staff shall develop an addendum to the child's case permanency plan that includes specific services and their timeframes for the child; and</w:t>
      </w:r>
    </w:p>
    <w:p>
      <w:pPr>
        <w:pStyle w:val="kar_paragraph"/>
      </w:pPr>
      <w:r>
        <w:t xml:space="preserve">(b)</w:t>
      </w:r>
      <w:r>
        <w:t xml:space="preserve"> </w:t>
      </w:r>
      <w:r>
        <w:t xml:space="preserve">The child's foster home shall complete monthly logs of the child's extraordinary care.</w:t>
      </w:r>
    </w:p>
    <w:p>
      <w:pPr>
        <w:pStyle w:val="kar_subsection"/>
      </w:pPr>
      <w:r>
        <w:t xml:space="preserve">(4)</w:t>
      </w:r>
      <w:r>
        <w:t xml:space="preserve"> </w:t>
      </w:r>
      <w:r>
        <w:t xml:space="preserve">The high-risk supplement shall be:</w:t>
      </w:r>
    </w:p>
    <w:p>
      <w:pPr>
        <w:pStyle w:val="kar_paragraph"/>
      </w:pPr>
      <w:r>
        <w:t xml:space="preserve">(a)</w:t>
      </w:r>
      <w:r>
        <w:t xml:space="preserve"> </w:t>
      </w:r>
      <w:r>
        <w:t xml:space="preserve">A standardized amount added to the per diem specified in contract between an approved foster home and the cabinet; and</w:t>
      </w:r>
    </w:p>
    <w:p>
      <w:pPr>
        <w:pStyle w:val="kar_paragraph"/>
      </w:pPr>
      <w:r>
        <w:t xml:space="preserve">(b)</w:t>
      </w:r>
      <w:r>
        <w:t xml:space="preserve"> </w:t>
      </w:r>
      <w:r>
        <w:t xml:space="preserve">Provided to a foster home for a period of up to six (6) months if the requirements established in this section are met.</w:t>
      </w:r>
    </w:p>
    <w:p>
      <w:pPr>
        <w:pStyle w:val="kar_subsection"/>
      </w:pPr>
      <w:r>
        <w:t xml:space="preserve">(5)</w:t>
      </w:r>
      <w:r>
        <w:t xml:space="preserve"> </w:t>
      </w:r>
      <w:r>
        <w:t xml:space="preserve">Extensions to the high-risk supplement may be granted in six (6) month intervals if:</w:t>
      </w:r>
    </w:p>
    <w:p>
      <w:pPr>
        <w:pStyle w:val="kar_paragraph"/>
      </w:pPr>
      <w:r>
        <w:t xml:space="preserve">(a)</w:t>
      </w:r>
      <w:r>
        <w:t xml:space="preserve"> </w:t>
      </w:r>
      <w:r>
        <w:t xml:space="preserve">The child is reassessed by the cabinet pursuant to Section 3 of this administrative regulation and continues to meet the eligibility requirements established in subsection (2) of this section; and</w:t>
      </w:r>
    </w:p>
    <w:p>
      <w:pPr>
        <w:pStyle w:val="kar_paragraph"/>
      </w:pPr>
      <w:r>
        <w:t xml:space="preserve">(b)</w:t>
      </w:r>
      <w:r>
        <w:t xml:space="preserve"> </w:t>
      </w:r>
      <w:r>
        <w:t xml:space="preserve">The family team meeting is held prior to granting each extension in order to:</w:t>
      </w:r>
    </w:p>
    <w:p>
      <w:pPr>
        <w:pStyle w:val="kar_subparagraph"/>
      </w:pPr>
      <w:r>
        <w:t xml:space="preserve">1.</w:t>
      </w:r>
      <w:r>
        <w:t xml:space="preserve"> </w:t>
      </w:r>
      <w:r>
        <w:t xml:space="preserve">Review progress made in the child's current case permanency plan addendum, which shall include a review of the foster home's monthly log of the child's extraordinary care; and</w:t>
      </w:r>
    </w:p>
    <w:p>
      <w:pPr>
        <w:pStyle w:val="kar_subparagraph"/>
      </w:pPr>
      <w:r>
        <w:t xml:space="preserve">2.</w:t>
      </w:r>
      <w:r>
        <w:t xml:space="preserve"> </w:t>
      </w:r>
      <w:r>
        <w:t xml:space="preserve">Complete a new "DPP-111B, High-Risk Supplement Assessment".</w:t>
      </w:r>
    </w:p>
    <w:p>
      <w:pPr>
        <w:pStyle w:val="kar_subsection"/>
      </w:pPr>
      <w:r>
        <w:t xml:space="preserve">(6)</w:t>
      </w:r>
      <w:r>
        <w:t xml:space="preserve"> </w:t>
      </w:r>
      <w:r>
        <w:t xml:space="preserve">If a high-risk supplement extension is granted:</w:t>
      </w:r>
    </w:p>
    <w:p>
      <w:pPr>
        <w:pStyle w:val="kar_paragraph"/>
      </w:pPr>
      <w:r>
        <w:t xml:space="preserve">(a)</w:t>
      </w:r>
      <w:r>
        <w:t xml:space="preserve"> </w:t>
      </w:r>
      <w:r>
        <w:t xml:space="preserve">The cabinet shall develop a new addendum to the child's case permanency plan that includes the specific services and their timeframes to be provided through the period of the extension granted; and</w:t>
      </w:r>
    </w:p>
    <w:p>
      <w:pPr>
        <w:pStyle w:val="kar_paragraph"/>
      </w:pPr>
      <w:r>
        <w:t xml:space="preserve">(b)</w:t>
      </w:r>
      <w:r>
        <w:t xml:space="preserve"> </w:t>
      </w:r>
      <w:r>
        <w:t xml:space="preserve">The foster home shall continue to complete monthly logs of the child's extraordinary care.</w:t>
      </w:r>
    </w:p>
    <w:p>
      <w:pPr>
        <w:pStyle w:val="kar_section"/>
      </w:pPr>
      <w:r>
        <w:t xml:space="preserve">Section 3.</w:t>
      </w:r>
      <w:r>
        <w:t xml:space="preserve"> </w:t>
      </w:r>
      <w:r>
        <w:t xml:space="preserve">Reassessment for High-Risk Supplement.</w:t>
      </w:r>
    </w:p>
    <w:p>
      <w:pPr>
        <w:pStyle w:val="kar_subsection"/>
      </w:pPr>
      <w:r>
        <w:t xml:space="preserve">(1)</w:t>
      </w:r>
      <w:r>
        <w:t xml:space="preserve"> </w:t>
      </w:r>
      <w:r>
        <w:t xml:space="preserve">If a foster home receives a high-risk supplement, the child shall be reassessed when the supplement expires to determine if the eligibility requirements established in Section 2 of this administrative regulation are met.</w:t>
      </w:r>
    </w:p>
    <w:p>
      <w:pPr>
        <w:pStyle w:val="kar_subsection"/>
      </w:pPr>
      <w:r>
        <w:t xml:space="preserve">(2)</w:t>
      </w:r>
      <w:r>
        <w:t xml:space="preserve"> </w:t>
      </w:r>
      <w:r>
        <w:t xml:space="preserve">If a child eligible for the high-risk supplement is relocated to another foster home or out-of-home placement, the cabinet:</w:t>
      </w:r>
    </w:p>
    <w:p>
      <w:pPr>
        <w:pStyle w:val="kar_paragraph"/>
      </w:pPr>
      <w:r>
        <w:t xml:space="preserve">(a)</w:t>
      </w:r>
      <w:r>
        <w:t xml:space="preserve"> </w:t>
      </w:r>
      <w:r>
        <w:t xml:space="preserve">Shall cease reimbursement of the high-risk supplement to the child's prior foster home; and</w:t>
      </w:r>
    </w:p>
    <w:p>
      <w:pPr>
        <w:pStyle w:val="kar_paragraph"/>
      </w:pPr>
      <w:r>
        <w:t xml:space="preserve">(b)</w:t>
      </w:r>
      <w:r>
        <w:t xml:space="preserve"> </w:t>
      </w:r>
      <w:r>
        <w:t xml:space="preserve">May redetermine the child to be eligible for the high-risk supplement if the requirements established in Section 2(2) of this administrative regulation are met.</w:t>
      </w:r>
    </w:p>
    <w:p>
      <w:pPr>
        <w:pStyle w:val="kar_section"/>
      </w:pPr>
      <w:r>
        <w:t xml:space="preserve">Section 4.</w:t>
      </w:r>
      <w:r>
        <w:t xml:space="preserve"> </w:t>
      </w:r>
      <w:r>
        <w:t xml:space="preserve">Parenting Youth Supplement.</w:t>
      </w:r>
    </w:p>
    <w:p>
      <w:pPr>
        <w:pStyle w:val="kar_subsection"/>
      </w:pPr>
      <w:r>
        <w:t xml:space="preserve">(1)</w:t>
      </w:r>
      <w:r>
        <w:t xml:space="preserve"> </w:t>
      </w:r>
      <w:r>
        <w:t xml:space="preserve">To the extent funds are available, the cabinet shall reimburse a foster home or approved provider pursuant to 922 KAR 1:300, 922 KAR 1:310, or 922 KAR 1:340 for the extraordinary care provided to a child who is a parenting youth.</w:t>
      </w:r>
    </w:p>
    <w:p>
      <w:pPr>
        <w:pStyle w:val="kar_subsection"/>
      </w:pPr>
      <w:r>
        <w:t xml:space="preserve">(2)</w:t>
      </w:r>
      <w:r>
        <w:t xml:space="preserve"> </w:t>
      </w:r>
      <w:r>
        <w:t xml:space="preserve">The cabinet shall consider a child eligible for a parenting youth supplement if:</w:t>
      </w:r>
    </w:p>
    <w:p>
      <w:pPr>
        <w:pStyle w:val="kar_paragraph"/>
      </w:pPr>
      <w:r>
        <w:t xml:space="preserve">(a)</w:t>
      </w:r>
      <w:r>
        <w:t xml:space="preserve"> </w:t>
      </w:r>
      <w:r>
        <w:t xml:space="preserve">The child is placed in:</w:t>
      </w:r>
    </w:p>
    <w:p>
      <w:pPr>
        <w:pStyle w:val="kar_subparagraph"/>
      </w:pPr>
      <w:r>
        <w:t xml:space="preserve">1.</w:t>
      </w:r>
      <w:r>
        <w:t xml:space="preserve"> </w:t>
      </w:r>
      <w:r>
        <w:t xml:space="preserve">A cabinet-approved foster home as established by 922 KAR 1:350;</w:t>
      </w:r>
    </w:p>
    <w:p>
      <w:pPr>
        <w:pStyle w:val="kar_subparagraph"/>
      </w:pPr>
      <w:r>
        <w:t xml:space="preserve">2.</w:t>
      </w:r>
      <w:r>
        <w:t xml:space="preserve"> </w:t>
      </w:r>
      <w:r>
        <w:t xml:space="preserve">An independent living setting approved in accordance with 922 KAR 1:340;</w:t>
      </w:r>
    </w:p>
    <w:p>
      <w:pPr>
        <w:pStyle w:val="kar_subparagraph"/>
      </w:pPr>
      <w:r>
        <w:t xml:space="preserve">3.</w:t>
      </w:r>
      <w:r>
        <w:t xml:space="preserve"> </w:t>
      </w:r>
      <w:r>
        <w:t xml:space="preserve">A private child-placing agency foster home approved in accordance with 922 KAR 1:310; or</w:t>
      </w:r>
    </w:p>
    <w:p>
      <w:pPr>
        <w:pStyle w:val="kar_subparagraph"/>
      </w:pPr>
      <w:r>
        <w:t xml:space="preserve">4.</w:t>
      </w:r>
      <w:r>
        <w:t xml:space="preserve"> </w:t>
      </w:r>
      <w:r>
        <w:t xml:space="preserve">An approved private child-caring facility in accordance with 922 KAR 1:300.</w:t>
      </w:r>
    </w:p>
    <w:p>
      <w:pPr>
        <w:pStyle w:val="kar_paragraph"/>
      </w:pPr>
      <w:r>
        <w:t xml:space="preserve">(b)</w:t>
      </w:r>
      <w:r>
        <w:t xml:space="preserve"> </w:t>
      </w:r>
      <w:r>
        <w:t xml:space="preserve">The child:</w:t>
      </w:r>
    </w:p>
    <w:p>
      <w:pPr>
        <w:pStyle w:val="kar_subparagraph"/>
      </w:pPr>
      <w:r>
        <w:t xml:space="preserve">1.</w:t>
      </w:r>
      <w:r>
        <w:t xml:space="preserve"> </w:t>
      </w:r>
      <w:r>
        <w:t xml:space="preserve">Is in the custody of the cabinet;</w:t>
      </w:r>
    </w:p>
    <w:p>
      <w:pPr>
        <w:pStyle w:val="kar_subparagraph"/>
      </w:pPr>
      <w:r>
        <w:t xml:space="preserve">2.</w:t>
      </w:r>
      <w:r>
        <w:t xml:space="preserve"> </w:t>
      </w:r>
      <w:r>
        <w:t xml:space="preserve">Has custody and control of their own child or children; and</w:t>
      </w:r>
    </w:p>
    <w:p>
      <w:pPr>
        <w:pStyle w:val="kar_subparagraph"/>
      </w:pPr>
      <w:r>
        <w:t xml:space="preserve">3.</w:t>
      </w:r>
      <w:r>
        <w:t xml:space="preserve"> </w:t>
      </w:r>
      <w:r>
        <w:t xml:space="preserve">Physically resides in the same location as the child or children; and</w:t>
      </w:r>
    </w:p>
    <w:p>
      <w:pPr>
        <w:pStyle w:val="kar_paragraph"/>
      </w:pPr>
      <w:r>
        <w:t xml:space="preserve">(c)</w:t>
      </w:r>
      <w:r>
        <w:t xml:space="preserve"> </w:t>
      </w:r>
      <w:r>
        <w:t xml:space="preserve">A "DPP-116, Parenting Youth Supplement" is completed.</w:t>
      </w:r>
    </w:p>
    <w:p>
      <w:pPr>
        <w:pStyle w:val="kar_subsection"/>
      </w:pPr>
      <w:r>
        <w:t xml:space="preserve">(3)</w:t>
      </w:r>
      <w:r>
        <w:t xml:space="preserve"> </w:t>
      </w:r>
      <w:r>
        <w:t xml:space="preserve">A parenting youth supplement shall be:</w:t>
      </w:r>
    </w:p>
    <w:p>
      <w:pPr>
        <w:pStyle w:val="kar_paragraph"/>
      </w:pPr>
      <w:r>
        <w:t xml:space="preserve">(a)</w:t>
      </w:r>
      <w:r>
        <w:t xml:space="preserve"> </w:t>
      </w:r>
      <w:r>
        <w:t xml:space="preserve">A standardized amount per child of the parenting youth added to the per diem of the parenting youth;</w:t>
      </w:r>
    </w:p>
    <w:p>
      <w:pPr>
        <w:pStyle w:val="kar_paragraph"/>
      </w:pPr>
      <w:r>
        <w:t xml:space="preserve">(b)</w:t>
      </w:r>
      <w:r>
        <w:t xml:space="preserve"> </w:t>
      </w:r>
      <w:r>
        <w:t xml:space="preserve">Effective for the duration of the placement in which the youth in the custody of the cabinet and their child or children reside together; and</w:t>
      </w:r>
    </w:p>
    <w:p>
      <w:pPr>
        <w:pStyle w:val="kar_paragraph"/>
      </w:pPr>
      <w:r>
        <w:t xml:space="preserve">(c)</w:t>
      </w:r>
      <w:r>
        <w:t xml:space="preserve"> </w:t>
      </w:r>
      <w:r>
        <w:t xml:space="preserve">Specified in the DPP-116.</w:t>
      </w:r>
    </w:p>
    <w:p>
      <w:pPr>
        <w:pStyle w:val="kar_subsection"/>
      </w:pPr>
      <w:r>
        <w:t xml:space="preserve">(4)</w:t>
      </w:r>
      <w:r>
        <w:t xml:space="preserve"> </w:t>
      </w:r>
      <w:r>
        <w:t xml:space="preserve">If a child deemed eligible for the parenting youth supplement is relocated to another foster home or provider established in subsection (2)(a) of this section, the cabinet:</w:t>
      </w:r>
    </w:p>
    <w:p>
      <w:pPr>
        <w:pStyle w:val="kar_paragraph"/>
      </w:pPr>
      <w:r>
        <w:t xml:space="preserve">(a)</w:t>
      </w:r>
      <w:r>
        <w:t xml:space="preserve"> </w:t>
      </w:r>
      <w:r>
        <w:t xml:space="preserve">Shall cease reimbursement of the parenting youth supplement to the child's prior foster home or provider; and</w:t>
      </w:r>
    </w:p>
    <w:p>
      <w:pPr>
        <w:pStyle w:val="kar_paragraph"/>
      </w:pPr>
      <w:r>
        <w:t xml:space="preserve">(b)</w:t>
      </w:r>
      <w:r>
        <w:t xml:space="preserve"> </w:t>
      </w:r>
      <w:r>
        <w:t xml:space="preserve">May redetermine the child to be eligible for the parenting youth supplement if the requirements of subsection (2) of this section are met.</w:t>
      </w:r>
    </w:p>
    <w:p>
      <w:pPr>
        <w:pStyle w:val="kar_section"/>
      </w:pPr>
      <w:r>
        <w:t xml:space="preserve">Section 5.</w:t>
      </w:r>
      <w:r>
        <w:t xml:space="preserve"> </w:t>
      </w:r>
      <w:r>
        <w:t xml:space="preserve">Service Appeals. A foster home or provider referenced in Section 4(1) of this administrative regulation may request an appeal in accordance with 922 KAR 1:320.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"DPP-111B, High-Risk Supplement Assessment", 07/20; and</w:t>
      </w:r>
    </w:p>
    <w:p>
      <w:pPr>
        <w:pStyle w:val="kar_paragraph"/>
      </w:pPr>
      <w:r>
        <w:t xml:space="preserve">(b)</w:t>
      </w:r>
      <w:r>
        <w:t xml:space="preserve"> </w:t>
      </w:r>
      <w:r>
        <w:t xml:space="preserve">"DPP-116, Parenting Youth Supplement", 11/20.</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529; 690; eff. 10-19-2005; 47 Ky.R. 468;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37774f66d845a2" /><Relationship Type="http://schemas.openxmlformats.org/officeDocument/2006/relationships/settings" Target="/word/settings.xml" Id="Rf55b7d767d5b41fc" /></Relationships>
</file>