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fef98dc9045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2:260.</w:t>
      </w:r>
      <w:r>
        <w:t xml:space="preserve"> </w:t>
      </w:r>
      <w:r>
        <w:t xml:space="preserve">Child care service appeals.</w:t>
      </w:r>
    </w:p>
    <w:p>
      <w:pPr>
        <w:pStyle w:val="kar_markup_metadata"/>
      </w:pPr>
      <w:r>
        <w:t xml:space="preserve">RELATES TO: </w:t>
      </w:r>
      <w:r>
        <w:t xml:space="preserve"> </w:t>
      </w:r>
    </w:p>
    <w:p>
      <w:pPr>
        <w:pStyle w:val="kar_markup_metadata"/>
      </w:pPr>
      <w:r>
        <w:t xml:space="preserve">STATUTORY AUTHORITY: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 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(42 Ky.R. 2690; 43 Ky.R. 65; eff. 8-17-2016; 44 Ky.R. 1166; eff. 3-15-2018; TAm eff. 5-13-2019.)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ca826e41234eff" /><Relationship Type="http://schemas.openxmlformats.org/officeDocument/2006/relationships/settings" Target="/word/settings.xml" Id="R0ab980f6761b430f" /></Relationships>
</file>