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82b135d2740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28:060.</w:t>
      </w:r>
      <w:r>
        <w:t xml:space="preserve"> </w:t>
      </w:r>
      <w:r>
        <w:t xml:space="preserve">Replacement parts.</w:t>
      </w:r>
    </w:p>
    <w:p>
      <w:pPr>
        <w:pStyle w:val="kar_markup_metadata"/>
      </w:pPr>
      <w:r>
        <w:t xml:space="preserve">RELATES TO: </w:t>
      </w:r>
      <w:r>
        <w:t xml:space="preserve">KRS 139.010</w:t>
      </w:r>
    </w:p>
    <w:p>
      <w:pPr>
        <w:pStyle w:val="kar_markup_metadata"/>
      </w:pPr>
      <w:r>
        <w:t xml:space="preserve">STATUTORY AUTHORITY: </w:t>
      </w:r>
      <w:r>
        <w:t xml:space="preserve">KRS 131.130(1)</w:t>
      </w:r>
    </w:p>
    <w:p>
      <w:pPr>
        <w:pStyle w:val="kar_markup_metadata"/>
      </w:pPr>
      <w:r>
        <w:t xml:space="preserve">NECESSITY, FUNCTION, AND CONFORMITY: </w:t>
      </w:r>
      <w:r>
        <w:t xml:space="preserve">To interpret the sales and use tax law as it applies to the furnishing of parts or materials under the provisions of a guarantee.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sale of tangible personal property by a retailer includes the furnishing, pursuant to the guaranty provisions of the contract of sale, of replacement parts or materials. Sales of such property to a retailer are therefore sales for resale with respect to which tax does not apply.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Any charge made by the retailer for replacement parts or material shall be included in "gross receipts" or "sales price," as the case may be.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(SU-46; 1 Ky.R. 231; eff. 1-8-1975; TAm eff. 6-22-2016.)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e0110bb52c4042" /><Relationship Type="http://schemas.openxmlformats.org/officeDocument/2006/relationships/settings" Target="/word/settings.xml" Id="R78a964d9c0c44d1e" /></Relationships>
</file>