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063657125046e4" /></Relationships>
</file>

<file path=word/document.xml><?xml version="1.0" encoding="utf-8"?>
<w:document xmlns:w="http://schemas.openxmlformats.org/wordprocessingml/2006/main">
  <w:body>
    <w:p>
      <w:pPr>
        <w:pStyle w:val="kar_citation"/>
      </w:pPr>
      <w:r>
        <w:t>103 KAR 28:090.</w:t>
      </w:r>
      <w:r>
        <w:t xml:space="preserve"> </w:t>
      </w:r>
      <w:r>
        <w:t xml:space="preserve">Tangible personal property; security instrument enforcement.</w:t>
      </w:r>
    </w:p>
    <w:p>
      <w:pPr>
        <w:pStyle w:val="kar_markup_metadata"/>
      </w:pPr>
      <w:r>
        <w:t xml:space="preserve">RELATES TO: </w:t>
      </w:r>
      <w:r>
        <w:t xml:space="preserve">KRS 139.010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sales of tangible personal property enforcing the provisions of a security instrument.</w:t>
      </w:r>
    </w:p>
    <w:p>
      <w:pPr>
        <w:pStyle w:val="kar_section"/>
      </w:pPr>
      <w:r>
        <w:t xml:space="preserve">Section 1.</w:t>
      </w:r>
      <w:r>
        <w:t xml:space="preserve"> </w:t>
      </w:r>
      <w:r>
        <w:t xml:space="preserve">The sales or use tax shall not apply to sales of tangible personal property at public auction enforcing the provisions of a security instrument if the sale is made pursuant to a court decree by a court appointed official and if the property is bid in by the secured party.</w:t>
      </w:r>
    </w:p>
    <w:p>
      <w:pPr>
        <w:pStyle w:val="kar_section"/>
      </w:pPr>
      <w:r>
        <w:t xml:space="preserve">Section 2.</w:t>
      </w:r>
      <w:r>
        <w:t xml:space="preserve"> </w:t>
      </w:r>
      <w:r>
        <w:t xml:space="preserve">The sales or use tax shall apply to other sales of tangible personal property enforcing the provisions of a security instrument and to subsequent sales of tangible personal property by the secured party who bids in the property at public auction to the same extent as other sales.</w:t>
      </w:r>
    </w:p>
    <w:p>
      <w:pPr>
        <w:pStyle w:val="kar_history"/>
        <w:sectPr>
          <w:pgSz w:w="12240" w:h="15840" w:orient="portrait" w:code="1"/>
          <w:pgMar w:top="1080" w:right="1080" w:bottom="1080" w:left="1080" w:header="720" w:footer="720" w:gutter="0"/>
          <w:paperSrc w:first="263" w:other="263"/>
          <w:noEndnote/>
          <w:docGrid w:linePitch="218"/>
        </w:sectPr>
      </w:pPr>
      <w:r>
        <w:t xml:space="preserve">(SU-35; 1 Ky.R. 468; eff. 3-12-1975; TAm eff. 6-22-2016; Crt eff. 1-28-2020; 46 Ky.R. 1288; eff. 4-1-2020.)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6d3128da554021" /><Relationship Type="http://schemas.openxmlformats.org/officeDocument/2006/relationships/settings" Target="/word/settings.xml" Id="R77fdcd5c89ec491c" /></Relationships>
</file>