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edd543432e484d" /></Relationships>
</file>

<file path=word/document.xml><?xml version="1.0" encoding="utf-8"?>
<w:document xmlns:w="http://schemas.openxmlformats.org/wordprocessingml/2006/main">
  <w:body>
    <w:p>
      <w:pPr>
        <w:pStyle w:val="kar_citation"/>
      </w:pPr>
      <w:r>
        <w:t>101 KAR 2:210.</w:t>
      </w:r>
      <w:r>
        <w:t xml:space="preserve"> </w:t>
      </w:r>
      <w:r>
        <w:t xml:space="preserve">2022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2022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2022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"2022 Plan Year Kentucky Employees' Health Plan Benefits Selection Guide", 2022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Docs, Forms and Legal Notices page at: https://personnel.ky.gov/Pages/healthinsurance.aspx.</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815b8c75f4611" /><Relationship Type="http://schemas.openxmlformats.org/officeDocument/2006/relationships/settings" Target="/word/settings.xml" Id="Rdcaa6ea9eb034e6e" /></Relationships>
</file>