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7d4edc53a646fb" /></Relationships>
</file>

<file path=word/document.xml><?xml version="1.0" encoding="utf-8"?>
<w:document xmlns:w="http://schemas.openxmlformats.org/wordprocessingml/2006/main">
  <w:body>
    <w:p>
      <w:pPr>
        <w:pStyle w:val="kar_citation"/>
      </w:pPr>
      <w:r>
        <w:t>201 KAR 12:082E.</w:t>
      </w:r>
      <w:r>
        <w:t xml:space="preserve"> </w:t>
      </w:r>
      <w:r>
        <w:t xml:space="preserve">Education requirements and school administration.</w:t>
      </w:r>
    </w:p>
    <w:p>
      <w:pPr>
        <w:pStyle w:val="kar_markup_metadata"/>
      </w:pPr>
      <w:r>
        <w:t xml:space="preserve">EFFECTIVE: October 1, 2021</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 </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 and</w:t>
      </w:r>
    </w:p>
    <w:p>
      <w:pPr>
        <w:pStyle w:val="kar_paragraph"/>
      </w:pPr>
      <w:r>
        <w:t xml:space="preserve">(e)</w:t>
      </w:r>
      <w:r>
        <w:t xml:space="preserve"> </w:t>
      </w:r>
      <w:r>
        <w:t xml:space="preserve">Light Cured Gels.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listed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listed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listed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 An apprentice instructor shall be under the immediate supervision and instruction of a licensed instructor during the school day. An apprentice instructor shall not assume the duties and responsibilities of a licensed supervising instructor.</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 ;</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 </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Blow Drying Services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Blow Drying Services License Hours Required.</w:t>
      </w:r>
    </w:p>
    <w:p>
      <w:pPr>
        <w:pStyle w:val="kar_subsection"/>
      </w:pPr>
      <w:r>
        <w:t xml:space="preserve">(1)</w:t>
      </w:r>
      <w:r>
        <w:t xml:space="preserve"> </w:t>
      </w:r>
      <w:r>
        <w:t xml:space="preserve">A blow drying services license student shall receive no less than 400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blow drying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accurate daily attendance record for all full-time students, part-time students, and apprentice instructors </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total hours obtained for the previous month and the total accumulated hours to date for all students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students additional fees beyond the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to perform services in the school for compensation during school hours.</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listed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listed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listed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the student's digital enrollment, accompanied by the applicant's proof of education, as established in Section 23 of this administrative regulation, within ten (10) business days of enrollment.</w:t>
      </w:r>
    </w:p>
    <w:p>
      <w:pPr>
        <w:pStyle w:val="kar_subsection"/>
      </w:pPr>
      <w:r>
        <w:t xml:space="preserve">(2)</w:t>
      </w:r>
      <w:r>
        <w:t xml:space="preserve"> </w:t>
      </w:r>
      <w:r>
        <w:t xml:space="preserve">All student identification information on the school's digital enrollment shall exactly match a state or federal government-issued identification card to take the examination. If corrections shall be made, the school shall submit the Enrollment Correction Application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ection"/>
      </w:pPr>
      <w:r>
        <w:t xml:space="preserve">Section 26.</w:t>
      </w:r>
      <w:r>
        <w:t xml:space="preserve"> </w:t>
      </w:r>
      <w:r>
        <w:t xml:space="preserve">Transfer. A student desiring to transfer to another licensed school shall:</w:t>
      </w:r>
    </w:p>
    <w:p>
      <w:pPr>
        <w:pStyle w:val="kar_subsection"/>
      </w:pPr>
      <w:r>
        <w:t xml:space="preserve">(1)</w:t>
      </w:r>
      <w:r>
        <w:t xml:space="preserve"> </w:t>
      </w:r>
      <w:r>
        <w:t xml:space="preserve">Notify the school in which the student is presently enrolled of the student's withdrawal;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school-student contracts.</w:t>
      </w:r>
    </w:p>
    <w:p>
      <w:pPr>
        <w:pStyle w:val="kar_section"/>
      </w:pPr>
      <w:r>
        <w:t xml:space="preserve">Section 28.</w:t>
      </w:r>
      <w:r>
        <w:t xml:space="preserve"> </w:t>
      </w:r>
      <w:r>
        <w:t xml:space="preserve">Student Complaints. A student may file a complaint with the board concerning the school in which the student is enrolled, by following the procedures outlined in 201 KAR 12:190.</w:t>
      </w:r>
    </w:p>
    <w:p>
      <w:pPr>
        <w:pStyle w:val="kar_section"/>
      </w:pPr>
      <w:r>
        <w:t xml:space="preserve">Section 29.</w:t>
      </w:r>
      <w:r>
        <w:t xml:space="preserve"> </w:t>
      </w:r>
      <w:r>
        <w:t xml:space="preserve">Student Leave of Absence. The school shall report a student's leave of absence to the board within ten (10) business days. The leave shall be reported:</w:t>
      </w:r>
    </w:p>
    <w:p>
      <w:pPr>
        <w:pStyle w:val="kar_subsection"/>
      </w:pPr>
      <w:r>
        <w:t xml:space="preserve">(1)</w:t>
      </w:r>
      <w:r>
        <w:t xml:space="preserve"> </w:t>
      </w:r>
      <w:r>
        <w:t xml:space="preserve">In writing from the student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Student Withdrawal. Within ten (10) business days from a student's withdrawal, a licensed school shall report the name of the withdrawing student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If a current licensee chooses to enter into the practice of cosmetology, they shall complete and submit the Program Transfer form. Upon receiving a completed Program Transfer form, the board shall treat the transferred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blow drying services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33.</w:t>
      </w:r>
      <w:r>
        <w:t xml:space="preserve"> </w:t>
      </w:r>
      <w:r>
        <w:t xml:space="preserve">Emergency Alternative Education. Digital theory content may be administered by a licensed school in the event of forced long-term or intermittent emergency closure(s) due to a world health concern or crisis to be approved by the board. The board may determine when emergency alternative education shall begin and end. The necessary compliance steps for implementation are:</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supported Mind Tap, Pivot Point supported LAB, or recorded video conference participation shall be used.</w:t>
      </w:r>
    </w:p>
    <w:p>
      <w:pPr>
        <w:pStyle w:val="kar_subsection"/>
      </w:pPr>
      <w:r>
        <w:t xml:space="preserve">(3)</w:t>
      </w:r>
      <w:r>
        <w:t xml:space="preserve"> </w:t>
      </w:r>
      <w:r>
        <w:t xml:space="preserve">Schools shall submit an outline to the board within ten (10) days prior to occurrence defining the content scope to be taught or completed and a plan for a transition into a digital training environment. Plans may be submitted for approval by the board to be kept for future use in the event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regulation on accessible hours.</w:t>
      </w:r>
    </w:p>
    <w:p>
      <w:pPr>
        <w:pStyle w:val="kar_subsection"/>
      </w:pPr>
      <w:r>
        <w:t xml:space="preserve">(6)</w:t>
      </w:r>
      <w:r>
        <w:t xml:space="preserve"> </w:t>
      </w:r>
      <w:r>
        <w:t xml:space="preserve">No student shall accrue more than the total required theory instruction hours outlined in the above instructional sections in emergency alternative education time.</w:t>
      </w:r>
    </w:p>
    <w:p>
      <w:pPr>
        <w:pStyle w:val="kar_subsection"/>
      </w:pPr>
      <w:r>
        <w:t xml:space="preserve">(7)</w:t>
      </w:r>
      <w:r>
        <w:t xml:space="preserve"> </w:t>
      </w:r>
      <w:r>
        <w:t xml:space="preserve">Board may determine eligibility for accruals based on duration of crisis and applicable time limits for alternative emergency education availability.</w:t>
      </w:r>
    </w:p>
    <w:p>
      <w:pPr>
        <w:pStyle w:val="kar_section"/>
      </w:pPr>
      <w:r>
        <w:t xml:space="preserve">Section 34.</w:t>
      </w:r>
      <w:r>
        <w:t xml:space="preserve"> </w:t>
      </w:r>
      <w:r>
        <w:t xml:space="preserve"> 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October 2018;</w:t>
      </w:r>
    </w:p>
    <w:p>
      <w:pPr>
        <w:pStyle w:val="kar_paragraph"/>
      </w:pPr>
      <w:r>
        <w:t xml:space="preserve">(b)</w:t>
      </w:r>
      <w:r>
        <w:t xml:space="preserve"> </w:t>
      </w:r>
      <w:r>
        <w:t xml:space="preserve">"Enrollment Correction Application", October 2018; and</w:t>
      </w:r>
    </w:p>
    <w:p>
      <w:pPr>
        <w:pStyle w:val="kar_paragraph"/>
      </w:pPr>
      <w:r>
        <w:t xml:space="preserve">(c)</w:t>
      </w:r>
      <w:r>
        <w:t xml:space="preserve"> </w:t>
      </w:r>
      <w:r>
        <w:t xml:space="preserve">"Program Transfer Form", January 2019.</w:t>
      </w:r>
    </w:p>
    <w:p>
      <w:pPr>
        <w:pStyle w:val="kar_subsection"/>
      </w:pPr>
      <w:r>
        <w:t xml:space="preserve">(2)</w:t>
      </w: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EFFECTIVE: October 1, 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7801b1d144411e" /><Relationship Type="http://schemas.openxmlformats.org/officeDocument/2006/relationships/settings" Target="/word/settings.xml" Id="Raf4bc3fab26f421b" /></Relationships>
</file>