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c8971676f41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14:030.</w:t>
      </w:r>
      <w:r>
        <w:t xml:space="preserve"> </w:t>
      </w:r>
      <w:r>
        <w:t xml:space="preserve">Five (5) year expiration of license.</w:t>
      </w:r>
    </w:p>
    <w:p>
      <w:pPr>
        <w:pStyle w:val="kar_markup_metadata"/>
      </w:pPr>
      <w:r>
        <w:t xml:space="preserve">RELATES TO: </w:t>
      </w:r>
      <w:r>
        <w:t xml:space="preserve">KRS 317.410, 317.450</w:t>
      </w:r>
    </w:p>
    <w:p>
      <w:pPr>
        <w:pStyle w:val="kar_markup_metadata"/>
      </w:pPr>
      <w:r>
        <w:t xml:space="preserve">STATUTORY AUTHORITY: </w:t>
      </w:r>
      <w:r>
        <w:t xml:space="preserve">KRS 317.440, 317.450</w:t>
      </w:r>
    </w:p>
    <w:p>
      <w:pPr>
        <w:pStyle w:val="kar_markup_metadata"/>
      </w:pPr>
      <w:r>
        <w:t xml:space="preserve">NECESSITY, FUNCTION, AND CONFORMITY: </w:t>
      </w:r>
      <w:r>
        <w:t xml:space="preserve">KRS 317.450 requires the Board of Barbering to license barbers, authorizes the board to renew a license that has not been expired more than five (5) years, and requires an applicant failing to renew a license within five (5) years of its expiration to comply with the requirements for relicensure established by the board. This administrative regulation establishes the relicensing requirements for a barber whose license has been expired over five (5) years.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If a license has been expired for more than five (5) years, an applicant for relicensure shall meet the requirements established in this section.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barber shall pass both the practical and written examination.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To regain an apprentice  license, an apprentice  barber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Complete 150 additional hours in training in a barber school licensed by the board;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Pass the practical and written examinations.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An instructor  shall pass both practical and written examinations, in accordance with 201 KAR 14:115.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(KBB:Exp.Lic; 1 Ky.R. 724; eff. 5-14-1975; Am. 10 Ky.R. 893; eff. 2-1-1984; 40 Ky.R. 1857; 2413; eff. 6-6-2014; Ky.R. 2922; 43 Ky.R.195; eff. 9-2-2016; 48 Ky.R. 1831; eff. 7-5-2022.)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ad47ecfe2c4ba6" /><Relationship Type="http://schemas.openxmlformats.org/officeDocument/2006/relationships/settings" Target="/word/settings.xml" Id="Rb4dfdb16039b4247" /></Relationships>
</file>