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a24c81bc4a49e8" /></Relationships>
</file>

<file path=word/document.xml><?xml version="1.0" encoding="utf-8"?>
<w:document xmlns:w="http://schemas.openxmlformats.org/wordprocessingml/2006/main">
  <w:body>
    <w:p>
      <w:pPr>
        <w:pStyle w:val="kar_citation"/>
      </w:pPr>
      <w:r>
        <w:t>201 KAR 14:040.</w:t>
      </w:r>
      <w:r>
        <w:t xml:space="preserve"> </w:t>
      </w:r>
      <w:r>
        <w:t xml:space="preserve">Inspection of shops and schools.</w:t>
      </w:r>
    </w:p>
    <w:p>
      <w:pPr>
        <w:pStyle w:val="kar_markup_metadata"/>
      </w:pPr>
      <w:r>
        <w:t xml:space="preserve">RELATES TO: </w:t>
      </w:r>
      <w:r>
        <w:t xml:space="preserve">KRS 317.440(1), 317.450(2), 317.590</w:t>
      </w:r>
    </w:p>
    <w:p>
      <w:pPr>
        <w:pStyle w:val="kar_markup_metadata"/>
      </w:pPr>
      <w:r>
        <w:t xml:space="preserve">STATUTORY AUTHORITY: </w:t>
      </w:r>
      <w:r>
        <w:t xml:space="preserve">KRS 317.440(1), 317.450(2)</w:t>
      </w:r>
    </w:p>
    <w:p>
      <w:pPr>
        <w:pStyle w:val="kar_markup_metadata"/>
      </w:pPr>
      <w:r>
        <w:t xml:space="preserve">NECESSITY, FUNCTION, AND CONFORMITY: </w:t>
      </w:r>
      <w:r>
        <w:t xml:space="preserve">KRS 317.440(1) requires the Board of Barbering to promulgate administrative regulations governing the location and housing of barber shops or schools and the quantity and quality of equipment, supplies, materials, records, and furnishings required in barber shops or schools. KRS 317.450(2) requires the board to refuse to issue a license to a barber who has failed to comply with the provisions of KRS Chapter 317 and 201 KAR Chapter 14. KRS 317.590 authorizes disciplinary action for violations of KRS Chapter 317 and 201 KAR Chapter 14. This administrative regulation establishes requirements relating to the inspection of a barber shop or school and the information to be displayed at a barber shop or school.</w:t>
      </w:r>
    </w:p>
    <w:p>
      <w:pPr>
        <w:pStyle w:val="kar_section"/>
      </w:pPr>
      <w:r>
        <w:t xml:space="preserve">Section 1.</w:t>
      </w:r>
      <w:r>
        <w:t xml:space="preserve"> </w:t>
      </w:r>
      <w:r>
        <w:t xml:space="preserve">A board member or authorized agent may inspect a barber shop, manicuring establishment located within a barber shop, or a barber school to determine if the licensee is in compliance with KRS Chapter 317 and 201 KAR Chapter 14.</w:t>
      </w:r>
    </w:p>
    <w:p>
      <w:pPr>
        <w:pStyle w:val="kar_section"/>
      </w:pPr>
      <w:r>
        <w:t xml:space="preserve">Section 2.</w:t>
      </w:r>
      <w:r>
        <w:t xml:space="preserve"> </w:t>
      </w:r>
      <w:r>
        <w:t xml:space="preserve">A barber shop or school shall conspicuously display:</w:t>
      </w:r>
    </w:p>
    <w:p>
      <w:pPr>
        <w:pStyle w:val="kar_subsection"/>
      </w:pPr>
      <w:r>
        <w:t xml:space="preserve">(1)</w:t>
      </w:r>
      <w:r>
        <w:t xml:space="preserve"> </w:t>
      </w:r>
      <w:r>
        <w:t xml:space="preserve">The license and picture of each barber and independent contract owner engaged in the practice of barbering at that shop or school; at the station where the barber or student is working;</w:t>
      </w:r>
    </w:p>
    <w:p>
      <w:pPr>
        <w:pStyle w:val="kar_subsection"/>
      </w:pPr>
      <w:r>
        <w:t xml:space="preserve">(2)</w:t>
      </w:r>
      <w:r>
        <w:t xml:space="preserve"> </w:t>
      </w:r>
      <w:r>
        <w:t xml:space="preserve">The license for the barber shop or school; </w:t>
      </w:r>
    </w:p>
    <w:p>
      <w:pPr>
        <w:pStyle w:val="kar_subsection"/>
      </w:pPr>
      <w:r>
        <w:t xml:space="preserve">(3)</w:t>
      </w:r>
      <w:r>
        <w:t xml:space="preserve"> </w:t>
      </w:r>
      <w:r>
        <w:t xml:space="preserve">The most recent inspection sheet furnished by the board for the barber shop, independent contract owner, or school. The inspection sheet shall include the telephone number and address for a consumer to use to file a complaint against a licensee; and</w:t>
      </w:r>
    </w:p>
    <w:p>
      <w:pPr>
        <w:pStyle w:val="kar_subsection"/>
      </w:pPr>
      <w:r>
        <w:t xml:space="preserve">(4)</w:t>
      </w:r>
      <w:r>
        <w:t xml:space="preserve"> </w:t>
      </w:r>
      <w:r>
        <w:t xml:space="preserve">The permit card and current picture taken within the last twelve (12) months shall be displayed at each student workstation in a school of barbering.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The owner and manager of each establishment licensed by the board shall be responsible for compliance with KRS Chapter 317 and 201 KAR Chapter 14. This section shall not apply to violations committed by an independent contract owner, in accordance with KRS 317.595(2).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b6a41e24a4d95" /><Relationship Type="http://schemas.openxmlformats.org/officeDocument/2006/relationships/settings" Target="/word/settings.xml" Id="R1444859ec0b84898" /></Relationships>
</file>