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83864fec947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14:180.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317.450</w:t>
      </w:r>
    </w:p>
    <w:p>
      <w:pPr>
        <w:pStyle w:val="kar_markup_metadata"/>
      </w:pPr>
      <w:r>
        <w:t xml:space="preserve">STATUTORY AUTHORITY: </w:t>
      </w:r>
      <w:r>
        <w:t xml:space="preserve">KRS 317.440(2)</w:t>
      </w:r>
    </w:p>
    <w:p>
      <w:pPr>
        <w:pStyle w:val="kar_markup_metadata"/>
      </w:pPr>
      <w:r>
        <w:t xml:space="preserve">NECESSITY, FUNCTION, AND CONFORMITY: </w:t>
      </w:r>
      <w:r>
        <w:t xml:space="preserve">KRS 317.440(2) requires the Board of Barbering to establish fees by administrative regulation. This administrative regulation establishes fees for examinations,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Initial licensing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license: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license: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school license: $500;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shop license: $100;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Endorsement: $250;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Instructor of barbering license: $100; and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Examination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Apprentice examination $200;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Barber examination: $200;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Instructor of barbering examination: $100 per section (three (3) sections).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Renewal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Barber: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Instructor  of barbering: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shop: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school: $200;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fifty (50)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The fee for renewal of a license that has been expired for five (5) years or less shall be the lapse fee defined in KRS 317.410(9) in addition to the late fee set forth below: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Barber fee: twenty-five (25)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Instructor  of barbering fee: fifty (50) dollars 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Barber shop fee: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Barber school fee: $100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Independent contract owner: twenty-five (25) dollars.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Duplicate license: ten (10)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of license: fifty (50) dollars;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Demonstration permit: $100;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Student permit card: fifteen (15)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student permit card: $100.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All fees received by the Kentucky Board of Barbering shall be non-refundable.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If a license or permit is lost, destroyed, or stolen after issuance, a duplicate license may be issued. The applicant shall submit to the board a Duplicate License Request form to verify the loss of the license or permit. Each duplicate license or permit shall be marked "duplicate."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"Duplicate License Request", May 2018, is incorporated by reference.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Barbering, 312 Whittington Parkway, Suite 110, Louisville, Kentucky 40222, Monday through Friday, 8 a.m. to 4:30 pm.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5898cd3dc4054" /><Relationship Type="http://schemas.openxmlformats.org/officeDocument/2006/relationships/settings" Target="/word/settings.xml" Id="R8ca87a701d794161" /></Relationships>
</file>