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b52fb7403a4a90" /></Relationships>
</file>

<file path=word/document.xml><?xml version="1.0" encoding="utf-8"?>
<w:document xmlns:w="http://schemas.openxmlformats.org/wordprocessingml/2006/main">
  <w:body>
    <w:p>
      <w:pPr>
        <w:pStyle w:val="kar_citation"/>
      </w:pPr>
      <w:r>
        <w:t>103 KAR 28:170.</w:t>
      </w:r>
      <w:r>
        <w:t xml:space="preserve"> </w:t>
      </w:r>
      <w:r>
        <w:t xml:space="preserve">Sales of dirt and sod.</w:t>
      </w:r>
    </w:p>
    <w:p>
      <w:pPr>
        <w:pStyle w:val="kar_markup_metadata"/>
      </w:pPr>
      <w:r>
        <w:t xml:space="preserve">RELATES TO: </w:t>
      </w:r>
      <w:r>
        <w:t xml:space="preserve">KRS 139.010, 139.200, 139.480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the requirements for applying sales tax to the sales of dirt or sod and the purchases of farm machinery used in the production of sod as a business.</w:t>
      </w:r>
    </w:p>
    <w:p>
      <w:pPr>
        <w:pStyle w:val="kar_section"/>
      </w:pPr>
      <w:r>
        <w:t xml:space="preserve">Section 1.</w:t>
      </w:r>
      <w:r>
        <w:t xml:space="preserve"> </w:t>
      </w:r>
      <w:r>
        <w:t xml:space="preserve">Definition. "Farm machinery" is defined in KRS 139.480(11).</w:t>
      </w:r>
    </w:p>
    <w:p>
      <w:pPr>
        <w:pStyle w:val="kar_section"/>
      </w:pPr>
      <w:r>
        <w:t xml:space="preserve">Section 2.</w:t>
      </w:r>
      <w:r>
        <w:t xml:space="preserve"> </w:t>
      </w:r>
      <w:r>
        <w:t xml:space="preserve">Dirt or sod sold while attached to real estate and immediately severed shall be considered tangible personal property and shall be subject to sales and use tax.</w:t>
      </w:r>
    </w:p>
    <w:p>
      <w:pPr>
        <w:pStyle w:val="kar_section"/>
      </w:pPr>
      <w:r>
        <w:t xml:space="preserve">Section 3.</w:t>
      </w:r>
      <w:r>
        <w:t xml:space="preserve"> </w:t>
      </w:r>
      <w:r>
        <w:t xml:space="preserve">Farm Machinery. Persons regularly engaged in raising sod as a product for sale shall be considered to be tilling the soil for the production of crops as a business as provided in KRS 139.480(11). Farm machinery used exclusively and directly in the production of sod as a business shall be purchased exempt from tax if the purchaser issues a Farm Exemption Certificate, Revenue Form 51A158, which is incorporated by reference in 103 KAR 3:020, to the seller at the time of purchase.</w:t>
      </w:r>
    </w:p>
    <w:p>
      <w:pPr>
        <w:pStyle w:val="kar_section"/>
      </w:pPr>
      <w:r>
        <w:t xml:space="preserve">Section 4.</w:t>
      </w:r>
      <w:r>
        <w:t xml:space="preserve"> </w:t>
      </w:r>
    </w:p>
    <w:p>
      <w:pPr>
        <w:pStyle w:val="kar_subsection"/>
      </w:pPr>
      <w:r>
        <w:t xml:space="preserve">(1)</w:t>
      </w:r>
      <w:r>
        <w:t xml:space="preserve"> </w:t>
      </w:r>
      <w:r>
        <w:t xml:space="preserve">This administrative regulation shall replace Revenue Policy 51P110.</w:t>
      </w:r>
    </w:p>
    <w:p>
      <w:pPr>
        <w:pStyle w:val="kar_subsection"/>
      </w:pPr>
      <w:r>
        <w:t xml:space="preserve">(2)</w:t>
      </w:r>
      <w:r>
        <w:t xml:space="preserve"> </w:t>
      </w:r>
      <w:r>
        <w:t xml:space="preserve">Revenue Policy 51P110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2809; 3154; eff. 5-4-2007; TAm eff. 6-22-2016.)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b1e47d9ded4d90" /><Relationship Type="http://schemas.openxmlformats.org/officeDocument/2006/relationships/settings" Target="/word/settings.xml" Id="Rb70a460849e14da8" /></Relationships>
</file>