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9de2e8897249f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and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r>
        <w:t>[</w:t>
      </w:r>
      <w:r>
        <w:rPr>
          <w:strike w:val="true"/>
        </w:rPr>
        <w:t xml:space="preserve">Applicants for Licensure by Examination.</w:t>
      </w:r>
      <w:r>
        <w:t>]</w:t>
      </w:r>
    </w:p>
    <w:p>
      <w:pPr>
        <w:pStyle w:val="kar_subsection"/>
      </w:pPr>
      <w:r>
        <w:t xml:space="preserve">(1)</w:t>
      </w:r>
      <w:r>
        <w:t xml:space="preserve"> </w:t>
      </w:r>
    </w:p>
    <w:p>
      <w:pPr>
        <w:pStyle w:val="kar_paragraph"/>
      </w:pPr>
      <w:r>
        <w:rPr>
          <w:u w:val="single"/>
        </w:rPr>
        <w:t xml:space="preserve">(a)</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paragraph"/>
      </w:pPr>
      <w:r>
        <w:rPr>
          <w:u w:val="single"/>
        </w:rPr>
        <w:t xml:space="preserve">(b)</w:t>
      </w:r>
      <w:r>
        <w:t xml:space="preserve"> </w:t>
      </w:r>
      <w:r>
        <w:rPr>
          <w:u w:val="single"/>
        </w:rPr>
        <w:t xml:space="preserve">An applicant for licensure by endorsement who is a graduate of a foreign nursing school shall meet the requirements of 201 KAR 20:110.</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p>
    <w:p>
      <w:pPr>
        <w:pStyle w:val="kar_paragraph"/>
      </w:pPr>
      <w:r>
        <w:t xml:space="preserve">(a)</w:t>
      </w:r>
      <w:r>
        <w:t xml:space="preserve"> </w:t>
      </w:r>
      <w:r>
        <w:t xml:space="preserve">An applicant for licensure as a registered </w:t>
      </w:r>
      <w:r>
        <w:rPr>
          <w:u w:val="single"/>
        </w:rPr>
        <w:t xml:space="preserve">nursing or a licensed practical nurse shall obtain a full education course-by-course report from the Commission on Graduates of Foreign Nursing Schools (CGFNS) Credentials Evaluation Service.</w:t>
      </w:r>
      <w:r>
        <w:t>[</w:t>
      </w:r>
      <w:r>
        <w:rPr>
          <w:strike w:val="true"/>
        </w:rPr>
        <w:t xml:space="preserve">nurse shall obtain a VisaScreen Certificate issued by the International Commission on Healthcare Professions, a division of the Commission on Graduates of Foreign Nursing Schools.</w:t>
      </w:r>
      <w:r>
        <w:t>]</w:t>
      </w:r>
    </w:p>
    <w:p>
      <w:pPr>
        <w:pStyle w:val="kar_paragraph"/>
      </w:pPr>
      <w:r>
        <w:t>[</w:t>
      </w:r>
      <w:r>
        <w:rPr>
          <w:strike w:val="true"/>
        </w:rPr>
        <w:t xml:space="preserve">(b)</w:t>
      </w:r>
      <w:r>
        <w:t>]</w:t>
      </w:r>
      <w:r>
        <w:t xml:space="preserve"> </w:t>
      </w:r>
      <w:r>
        <w:t>[</w:t>
      </w:r>
      <w:r>
        <w:rPr>
          <w:strike w:val="true"/>
        </w:rP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Certificate have been met.</w:t>
      </w:r>
      <w:r>
        <w:t>]</w:t>
      </w:r>
      <w:r>
        <w:rPr>
          <w:u w:val="single"/>
        </w:rPr>
        <w:t xml:space="preserve">The report shall state whether the applicant's program of nursing is comparable to an approved program in the state.</w:t>
      </w:r>
    </w:p>
    <w:p>
      <w:pPr>
        <w:pStyle w:val="kar_paragraph"/>
      </w:pPr>
      <w:r>
        <w:rPr>
          <w:u w:val="single"/>
        </w:rPr>
        <w:t xml:space="preserve">(b)</w:t>
      </w:r>
      <w:r>
        <w:t xml:space="preserve"> </w:t>
      </w:r>
      <w:r>
        <w:rPr>
          <w:u w:val="single"/>
        </w:rPr>
        <w:t xml:space="preserve">An applicant shall also complete an English Language Proficiency examination pursuant to Section 2 of this administrative regulation.</w:t>
      </w:r>
    </w:p>
    <w:p>
      <w:pPr>
        <w:pStyle w:val="kar_subsection"/>
      </w:pPr>
      <w:r>
        <w:t xml:space="preserve">(5)</w:t>
      </w:r>
      <w:r>
        <w:t xml:space="preserve"> </w:t>
      </w:r>
      <w:r>
        <w:t xml:space="preserve">An applicant for licensure by examination may be made eligible to take the NCLEX examination prior to obtaining a Social Security number. However, the applicant shall not be licensed until </w:t>
      </w:r>
      <w:r>
        <w:rPr>
          <w:u w:val="single"/>
        </w:rPr>
        <w:t xml:space="preserve">the applicant</w:t>
      </w:r>
      <w:r>
        <w:t>[</w:t>
      </w:r>
      <w:r>
        <w:rPr>
          <w:strike w:val="true"/>
        </w:rPr>
        <w:t xml:space="preserve">he</w:t>
      </w:r>
      <w:r>
        <w:t>]</w:t>
      </w:r>
      <w:r>
        <w:t xml:space="preserve"> provides a Social Security number.</w:t>
      </w:r>
    </w:p>
    <w:p>
      <w:pPr>
        <w:pStyle w:val="kar_section"/>
      </w:pPr>
      <w:r>
        <w:t xml:space="preserve">Section 2.</w:t>
      </w:r>
      <w:r>
        <w:t xml:space="preserve"> </w:t>
      </w:r>
      <w:r>
        <w:rPr>
          <w:u w:val="single"/>
        </w:rPr>
        <w:t xml:space="preserve">English Language Proficiency Examinations.</w:t>
      </w:r>
    </w:p>
    <w:p>
      <w:pPr>
        <w:pStyle w:val="kar_subsection"/>
      </w:pPr>
      <w:r>
        <w:rPr>
          <w:u w:val="single"/>
        </w:rPr>
        <w:t xml:space="preserve">(1)</w:t>
      </w:r>
      <w:r>
        <w:t xml:space="preserve"> </w:t>
      </w:r>
      <w:r>
        <w:rPr>
          <w:u w:val="single"/>
        </w:rPr>
        <w:t xml:space="preserve">An applicant for licensure shall complete English Language Proficiency examination unless the language of instruction and the textbooks of the applicant's program of nursing were entirely in English.</w:t>
      </w:r>
    </w:p>
    <w:p>
      <w:pPr>
        <w:pStyle w:val="kar_subsection"/>
      </w:pPr>
      <w:r>
        <w:rPr>
          <w:u w:val="single"/>
        </w:rPr>
        <w:t xml:space="preserve">(2)</w:t>
      </w:r>
      <w:r>
        <w:t xml:space="preserve"> </w:t>
      </w:r>
      <w:r>
        <w:rPr>
          <w:u w:val="single"/>
        </w:rPr>
        <w:t xml:space="preserve">The following English Language Proficiency examinations are recognized with the minimum passing standard:</w:t>
      </w:r>
    </w:p>
    <w:p>
      <w:pPr>
        <w:pStyle w:val="kar_paragraph"/>
      </w:pPr>
      <w:r>
        <w:rPr>
          <w:u w:val="single"/>
        </w:rPr>
        <w:t xml:space="preserve">(a)</w:t>
      </w:r>
      <w:r>
        <w:t xml:space="preserve"> </w:t>
      </w:r>
      <w:r>
        <w:rPr>
          <w:u w:val="single"/>
        </w:rPr>
        <w:t xml:space="preserve">International English Language Testing System (IELTS), 6.5 overall, 6.0 speaking; and</w:t>
      </w:r>
    </w:p>
    <w:p>
      <w:pPr>
        <w:pStyle w:val="kar_paragraph"/>
      </w:pPr>
      <w:r>
        <w:rPr>
          <w:u w:val="single"/>
        </w:rPr>
        <w:t xml:space="preserve">(b)</w:t>
      </w:r>
      <w:r>
        <w:t xml:space="preserve"> </w:t>
      </w:r>
      <w:r>
        <w:rPr>
          <w:u w:val="single"/>
        </w:rPr>
        <w:t xml:space="preserve">Test of English as a Foreign Language (TOEFL), eighty-four (84) overall, twenty-six (26) speaking.</w:t>
      </w:r>
    </w:p>
    <w:p>
      <w:pPr>
        <w:pStyle w:val="kar_subsection"/>
      </w:pPr>
      <w:r>
        <w:rPr>
          <w:u w:val="single"/>
        </w:rPr>
        <w:t xml:space="preserve">(3)</w:t>
      </w:r>
      <w:r>
        <w:t xml:space="preserve"> </w:t>
      </w:r>
      <w:r>
        <w:rPr>
          <w:u w:val="single"/>
        </w:rPr>
        <w:t xml:space="preserve">The applicant shall cause the scores on the English Language Proficiency examination to be sent to the board by CGFNS.</w:t>
      </w:r>
      <w:r>
        <w:t xml:space="preserve"> [</w:t>
      </w:r>
    </w:p>
    <w:p>
      <w:pPr>
        <w:pStyle w:val="kar_subsection"/>
      </w:pPr>
      <w:r>
        <w:t>[</w:t>
      </w:r>
      <w:r>
        <w:rPr>
          <w:strike w:val="true"/>
        </w:rPr>
        <w:t xml:space="preserve">(1)</w:t>
      </w:r>
      <w:r>
        <w:t>]</w:t>
      </w:r>
      <w:r>
        <w:t xml:space="preserve"> </w:t>
      </w:r>
      <w:r>
        <w:t>[</w:t>
      </w:r>
      <w:r>
        <w:rPr>
          <w:strike w:val="true"/>
        </w:rPr>
        <w:t xml:space="preserve">Applicants for Licensure by Endorsement. (1) An applicant for licensure by endorsement who is a graduate of a foreign nursing school shall meet the requirements established in 201 KAR 20:110.</w:t>
      </w:r>
      <w:r>
        <w:t>]</w:t>
      </w:r>
    </w:p>
    <w:p>
      <w:pPr>
        <w:pStyle w:val="kar_subsection"/>
      </w:pPr>
      <w:r>
        <w:t>[</w:t>
      </w:r>
      <w:r>
        <w:rPr>
          <w:strike w:val="true"/>
        </w:rPr>
        <w:t xml:space="preserve">(2)</w:t>
      </w:r>
      <w:r>
        <w:t>]</w:t>
      </w:r>
      <w:r>
        <w:t xml:space="preserve"> </w:t>
      </w:r>
      <w:r>
        <w:t>[</w:t>
      </w:r>
      <w:r>
        <w:rPr>
          <w:strike w:val="true"/>
        </w:rPr>
        <w:t xml:space="preserve">A graduate of a foreign nursing school who is not a citizen of the United States shall maintain evidence of legal permanent or temporary residency in the United States.</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An applicant for licensure as a registered nurse shall obtain a VisaScreen Certificate issued by the International Commission on Healthcare Professions, a division of the Commission on Graduates of Foreign Nursing Schools.</w:t>
      </w:r>
      <w:r>
        <w:t>]</w:t>
      </w:r>
    </w:p>
    <w:p>
      <w:pPr>
        <w:pStyle w:val="kar_paragraph"/>
      </w:pPr>
      <w:r>
        <w:t>[</w:t>
      </w:r>
      <w:r>
        <w:rPr>
          <w:strike w:val="true"/>
        </w:rPr>
        <w:t xml:space="preserve">(b)</w:t>
      </w:r>
      <w:r>
        <w:t>]</w:t>
      </w:r>
      <w:r>
        <w:t xml:space="preserve"> </w:t>
      </w:r>
      <w:r>
        <w:t>[</w:t>
      </w:r>
      <w:r>
        <w:rPr>
          <w:strike w:val="true"/>
        </w:rP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have been met.</w:t>
      </w:r>
      <w:r>
        <w:t>]</w:t>
      </w:r>
    </w:p>
    <w:p>
      <w:pPr>
        <w:pStyle w:val="kar_signature"/>
      </w:pPr>
      <w:r>
        <w:t xml:space="preserve">JESSICA WILSON, President</w:t>
      </w:r>
    </w:p>
    <w:p>
      <w:pPr>
        <w:pStyle w:val="kar_normal"/>
      </w:pPr>
      <w:r>
        <w:t xml:space="preserve"/>
      </w:r>
    </w:p>
    <w:p>
      <w:pPr>
        <w:pStyle w:val="kar_approved_by"/>
      </w:pPr>
      <w:r>
        <w:t xml:space="preserve">APPROVED BY AGENCY: October 28, 2021</w:t>
      </w:r>
    </w:p>
    <w:p>
      <w:pPr>
        <w:pStyle w:val="kar_filed"/>
      </w:pPr>
      <w:r>
        <w:t xml:space="preserve">FILED WITH LRC: November 5, 2021 at 10:30 a.m.</w:t>
      </w:r>
    </w:p>
    <w:p>
      <w:pPr>
        <w:pStyle w:val="kar_normal"/>
      </w:pPr>
      <w:r>
        <w:t xml:space="preserve"/>
      </w:r>
    </w:p>
    <w:p>
      <w:pPr>
        <w:pStyle w:val="kar_comment_period"/>
      </w:pPr>
      <w:r>
        <w:t xml:space="preserve">PUBLIC HEARING AND PUBLIC COMMENT PERIOD: A public hearing on this administrative regulation shall be held on Monday, January 24, 2022, at 10:00 a.m. (EDT) in the office of the Kentucky Board of Nursing, 312 Whittington Parkway, Suite 300, Louisville, Kentucky. Individuals interested in being heard at this hearing shall notify this agency in writing by Monday, January 17,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Monday, January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certain requirements for applicants for licensure who graduated from a foreign nursing school.</w:t>
      </w:r>
    </w:p>
    <w:p>
      <w:pPr>
        <w:pStyle w:val="kar_normal"/>
        <w:ind w:left="576"/>
      </w:pPr>
      <w:r>
        <w:t xml:space="preserve">(b) The necessity of this administrative regulation:</w:t>
      </w:r>
    </w:p>
    <w:p>
      <w:pPr>
        <w:pStyle w:val="kar_normal"/>
        <w:ind w:left="720"/>
      </w:pPr>
      <w:r>
        <w:t xml:space="preserve">It is necessary to assure that the foreign nursing program is comparable to a Kentucky program and that the applicant can speak, read, and understand English.</w:t>
      </w:r>
    </w:p>
    <w:p>
      <w:pPr>
        <w:pStyle w:val="kar_normal"/>
        <w:ind w:left="576"/>
      </w:pPr>
      <w:r>
        <w:t xml:space="preserve">(c) How this administrative regulation conforms to the content of the authorizing statutes:</w:t>
      </w:r>
    </w:p>
    <w:p>
      <w:pPr>
        <w:pStyle w:val="kar_normal"/>
        <w:ind w:left="720"/>
      </w:pPr>
      <w:r>
        <w:t xml:space="preserve">By setting these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these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By adopting the CGFNS CES and the English examinations. (d) How the amendment to the administrative regulation will assist in the effective administration of the statutes: By adopting the CGFNS CES and the English examinations.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who graduated from a foreign nursing school, number unknown. (4) Provide an analysis of how the entities referenced in question (3) will be impacted by either the implementation of this administrative regulation, if new, or by the change if it is an amendment, including: (a) A detailed explanation of the actions the entities referenced in question (3) will be required to undertake in order to comply with this proposed administrative regulation: They will have to obtain a CGFNS CES report and pass an English Language Proficiency examination. (b) An estimate of the costs imposed on entities referenced in question (3) in order to comply with this proposed administrative regulation: There is a fee paid to CGFNS and to the organization providing the English Language Proficiency examination. Board staff understands that the CGFNS CES report cost to be $385.00; and the costs to take the ELP examinations are as follows: the Test of English as a Foreign Language (TOEFL) examination is $185.00, and the International English Language Testing System (IELTS) is $225.00. (c) The benefits that may accrue to the entities referenced in question (3) as a result of compliance: They will be in compliance with the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 (6) Provide the source of the funding to be used for the implementation and enforcement of this administrative regulation: Agency general funds. (7) Provide an assessment of whether an increase in fees or funding will be necessary to implement this administrative regulation or amendment: It will not. (8) State whether or not this administrative regulation establishes any fees or directly or indirectly increases any fees: It does not.</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314.041, KRS 314.051,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costs.</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572980b6f45f8" /><Relationship Type="http://schemas.openxmlformats.org/officeDocument/2006/relationships/settings" Target="/word/settings.xml" Id="Rb1174c0df6a644e6" /></Relationships>
</file>