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b1b9cae0244ac1" /></Relationships>
</file>

<file path=word/document.xml><?xml version="1.0" encoding="utf-8"?>
<w:document xmlns:w="http://schemas.openxmlformats.org/wordprocessingml/2006/main">
  <w:body>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client through a face-to-face encounter with access to real-time interactive audio and video technology.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credential holder and the client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p>
    <w:p>
      <w:pPr>
        <w:pStyle w:val="kar_subsection"/>
      </w:pPr>
      <w:r>
        <w:t xml:space="preserve">(7)</w:t>
      </w:r>
      <w:r>
        <w:t xml:space="preserve"> </w:t>
      </w:r>
      <w:r>
        <w:t xml:space="preserve">Within forty-eight (48) hours of the telehealth service, the credential holder shall document within the client's medical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Shall comply with 201 KAR 26:145.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31f234cf04550" /><Relationship Type="http://schemas.openxmlformats.org/officeDocument/2006/relationships/settings" Target="/word/settings.xml" Id="R1b67039ec9564688" /></Relationships>
</file>