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6558664a242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42:010.</w:t>
      </w:r>
      <w:r>
        <w:t xml:space="preserve"> </w:t>
      </w:r>
      <w:r>
        <w:t xml:space="preserve">Goals for massage therapy sessions.</w:t>
      </w:r>
    </w:p>
    <w:p>
      <w:pPr>
        <w:pStyle w:val="kar_markup_metadata"/>
      </w:pPr>
      <w:r>
        <w:t xml:space="preserve">RELATES TO: </w:t>
      </w:r>
      <w:r>
        <w:t xml:space="preserve">KRS 309.350(7), 309.355(3)</w:t>
      </w:r>
    </w:p>
    <w:p>
      <w:pPr>
        <w:pStyle w:val="kar_markup_metadata"/>
      </w:pPr>
      <w:r>
        <w:t xml:space="preserve">STATUTORY AUTHORITY: </w:t>
      </w:r>
      <w:r>
        <w:t xml:space="preserve">KRS 309.355(3)</w:t>
      </w:r>
    </w:p>
    <w:p>
      <w:pPr>
        <w:pStyle w:val="kar_markup_metadata"/>
      </w:pPr>
      <w:r>
        <w:t xml:space="preserve">NECESSITY, FUNCTION, AND CONFORMITY: </w:t>
      </w:r>
      <w:r>
        <w:t xml:space="preserve">KRS 309.355(3) requires the board to promulgate administrative regulations setting standards of practice. This administrative regulation establishes the goals of massage therapy and possible means of achieving these goals.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Goals for massage therapy may include: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Maintaining health;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Providing relaxation;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Preserving or increasing functional capacity;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Diminishing soft-tissue pain arising from stress, anxiety, adhesions, and overuses;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Providing treatment that is professionally appropriate for the client.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In order to reach these objectives, the massage therapist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Provide consultation with a client or a referring professional on soft-tissue issues;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Evaluate clients for the appropriate approaches for each session;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Plan sessions;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Provide direct treatment;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Provide draping and treatment in a way that ensures the safety, comfort, and privacy of the client.[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(32 Ky.R. 1015; 1226; eff. 2-3-2006; 37 Ky.R. Am. 1009; 1695; 1989; eff. 3-4-2011; Cert eff. 2-26-2020; 48 Ky.R. 1241; eff. 7-5-2022.)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76f2b158af4f7a" /><Relationship Type="http://schemas.openxmlformats.org/officeDocument/2006/relationships/settings" Target="/word/settings.xml" Id="Rc41572d231ba4766" /></Relationships>
</file>