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e0e433da9534e5b"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Kentucky Applied Behavior Analysis Licensing Board</w:t>
      </w:r>
    </w:p>
    <w:p>
      <w:pPr>
        <w:pStyle w:val="kar_markup_header"/>
        <w:ind w:firstLine="0"/>
      </w:pPr>
      <w:r>
        <w:t>(Amendment)</w:t>
      </w:r>
    </w:p>
    <w:p>
      <w:pPr>
        <w:pStyle w:val="kar_citation"/>
      </w:pPr>
      <w:r>
        <w:t>201 KAR 43:010.</w:t>
      </w:r>
      <w:r>
        <w:t xml:space="preserve"> </w:t>
      </w:r>
      <w:r>
        <w:t xml:space="preserve">Application procedures for licensure.</w:t>
      </w:r>
    </w:p>
    <w:p>
      <w:pPr>
        <w:pStyle w:val="kar_markup_metadata"/>
      </w:pPr>
      <w:r>
        <w:t xml:space="preserve">RELATES TO: </w:t>
      </w:r>
      <w:r>
        <w:t xml:space="preserve">KRS 319C.070, 319C.080(1), (2)</w:t>
      </w:r>
    </w:p>
    <w:p>
      <w:pPr>
        <w:pStyle w:val="kar_markup_metadata"/>
      </w:pPr>
      <w:r>
        <w:t xml:space="preserve">STATUTORY AUTHORITY: </w:t>
      </w:r>
      <w:r>
        <w:t xml:space="preserve">KRS 319C.060(2)(a)</w:t>
      </w:r>
    </w:p>
    <w:p>
      <w:pPr>
        <w:pStyle w:val="kar_markup_metadata"/>
      </w:pPr>
      <w:r>
        <w:t xml:space="preserve">NECESSITY, FUNCTION, AND CONFORMITY: </w:t>
      </w:r>
      <w:r>
        <w:t xml:space="preserve">KRS 319C.060(2)(a) requires the board to promulgate administrative regulations establishing the requirements for an applicant for licensure as a behavior analyst or assistant behavior analyst. This administrative regulation establishes the requirements for applicants for licensure.</w:t>
      </w:r>
    </w:p>
    <w:p>
      <w:pPr>
        <w:pStyle w:val="kar_section"/>
      </w:pPr>
      <w:r>
        <w:t xml:space="preserve">Section 1.</w:t>
      </w:r>
      <w:r>
        <w:t xml:space="preserve"> </w:t>
      </w:r>
      <w:r>
        <w:t xml:space="preserve">Application Procedures.</w:t>
      </w:r>
    </w:p>
    <w:p>
      <w:pPr>
        <w:pStyle w:val="kar_subsection"/>
      </w:pPr>
      <w:r>
        <w:t xml:space="preserve">(1)</w:t>
      </w:r>
      <w:r>
        <w:t xml:space="preserve"> </w:t>
      </w:r>
      <w:r>
        <w:t xml:space="preserve">An Application for Licensure as a behavior analyst </w:t>
      </w:r>
      <w:r>
        <w:rPr>
          <w:u w:val="single"/>
        </w:rPr>
        <w:t xml:space="preserve">shall</w:t>
      </w:r>
      <w:r>
        <w:t>[</w:t>
      </w:r>
      <w:r>
        <w:rPr>
          <w:strike w:val="true"/>
        </w:rPr>
        <w:t xml:space="preserve">or assistant behavior analyst may</w:t>
      </w:r>
      <w:r>
        <w:t>]</w:t>
      </w:r>
      <w:r>
        <w:t xml:space="preserve"> be submitted after the requirements established in KRS 319C.080(1)</w:t>
      </w:r>
      <w:r>
        <w:t>[</w:t>
      </w:r>
      <w:r>
        <w:rPr>
          <w:strike w:val="true"/>
        </w:rPr>
        <w:t xml:space="preserve">and (2)</w:t>
      </w:r>
      <w:r>
        <w:t>]</w:t>
      </w:r>
      <w:r>
        <w:t xml:space="preserve"> are met.</w:t>
      </w:r>
    </w:p>
    <w:p>
      <w:pPr>
        <w:pStyle w:val="kar_subsection"/>
      </w:pPr>
      <w:r>
        <w:t xml:space="preserve">(2)</w:t>
      </w:r>
      <w:r>
        <w:t xml:space="preserve"> </w:t>
      </w:r>
      <w:r>
        <w:rPr>
          <w:u w:val="single"/>
        </w:rPr>
        <w:t xml:space="preserve">An Application for Licensure as an assistant behavior analyst shall be submitted after the requirements established in KRS 319C.080(2) are met.</w:t>
      </w:r>
    </w:p>
    <w:p>
      <w:pPr>
        <w:pStyle w:val="kar_subsection"/>
      </w:pPr>
      <w:r>
        <w:rPr>
          <w:u w:val="single"/>
        </w:rPr>
        <w:t xml:space="preserve">(3)</w:t>
      </w:r>
      <w:r>
        <w:t xml:space="preserve"> </w:t>
      </w:r>
      <w:r>
        <w:t xml:space="preserve">The application required by subsection</w:t>
      </w:r>
      <w:r>
        <w:rPr>
          <w:u w:val="single"/>
        </w:rPr>
        <w:t xml:space="preserve">s</w:t>
      </w:r>
      <w:r>
        <w:t xml:space="preserve"> (1) </w:t>
      </w:r>
      <w:r>
        <w:rPr>
          <w:u w:val="single"/>
        </w:rPr>
        <w:t xml:space="preserve">and (2)</w:t>
      </w:r>
      <w:r>
        <w:t xml:space="preserve"> of this section shall be made by submitting a completed Form ABA-001, Application for Licensure, to the board. The application shall include:</w:t>
      </w:r>
    </w:p>
    <w:p>
      <w:pPr>
        <w:pStyle w:val="kar_paragraph"/>
      </w:pPr>
      <w:r>
        <w:t xml:space="preserve">(a)</w:t>
      </w:r>
      <w:r>
        <w:t xml:space="preserve"> </w:t>
      </w:r>
      <w:r>
        <w:t xml:space="preserve">A certification by the applicant that the:</w:t>
      </w:r>
    </w:p>
    <w:p>
      <w:pPr>
        <w:pStyle w:val="kar_subparagraph"/>
      </w:pPr>
      <w:r>
        <w:t xml:space="preserve">1.</w:t>
      </w:r>
      <w:r>
        <w:t xml:space="preserve"> </w:t>
      </w:r>
      <w:r>
        <w:t xml:space="preserve">Information in the application is true, correct, and complete to the best of his or her knowledge and belief; and</w:t>
      </w:r>
    </w:p>
    <w:p>
      <w:pPr>
        <w:pStyle w:val="kar_subparagraph"/>
      </w:pPr>
      <w:r>
        <w:t xml:space="preserve">2.</w:t>
      </w:r>
      <w:r>
        <w:t xml:space="preserve"> </w:t>
      </w:r>
      <w:r>
        <w:t xml:space="preserve">Applicant is aware that </w:t>
      </w:r>
      <w:r>
        <w:t>[</w:t>
      </w:r>
      <w:r>
        <w:rPr>
          <w:strike w:val="true"/>
        </w:rPr>
        <w:t xml:space="preserve">the board shall take disciplinary action in accordance with KRS 319C.070 if the application contains</w:t>
      </w:r>
      <w:r>
        <w:t>]</w:t>
      </w:r>
      <w:r>
        <w:t xml:space="preserve"> a misrepresentation or falsification </w:t>
      </w:r>
      <w:r>
        <w:rPr>
          <w:u w:val="single"/>
        </w:rPr>
        <w:t xml:space="preserve">in the application is grounds for denial or revocation of the license at any time</w:t>
      </w:r>
      <w:r>
        <w:t xml:space="preserve">; </w:t>
      </w:r>
      <w:r>
        <w:t>[</w:t>
      </w:r>
      <w:r>
        <w:rPr>
          <w:strike w:val="true"/>
        </w:rPr>
        <w:t xml:space="preserve">and</w:t>
      </w:r>
      <w:r>
        <w:t>]</w:t>
      </w:r>
    </w:p>
    <w:p>
      <w:pPr>
        <w:pStyle w:val="kar_paragraph"/>
      </w:pPr>
      <w:r>
        <w:t xml:space="preserve">(b)</w:t>
      </w:r>
      <w:r>
        <w:t xml:space="preserve"> </w:t>
      </w:r>
      <w:r>
        <w:rPr>
          <w:u w:val="single"/>
        </w:rPr>
        <w:t xml:space="preserve">A copy of the degree obtained;</w:t>
      </w:r>
      <w:r>
        <w:t>[</w:t>
      </w:r>
      <w:r>
        <w:rPr>
          <w:strike w:val="true"/>
        </w:rPr>
        <w:t xml:space="preserve">An official transcript for all levels of education required for licensure.</w:t>
      </w:r>
      <w:r>
        <w:t>]</w:t>
      </w:r>
    </w:p>
    <w:p>
      <w:pPr>
        <w:pStyle w:val="kar_subsection"/>
      </w:pPr>
      <w:r>
        <w:rPr>
          <w:u w:val="single"/>
        </w:rPr>
        <w:t xml:space="preserve">(4)</w:t>
      </w:r>
      <w:r>
        <w:t xml:space="preserve"> </w:t>
      </w:r>
      <w:r>
        <w:rPr>
          <w:u w:val="single"/>
        </w:rPr>
        <w:t xml:space="preserve">A check or money order payable to the Kentucky State Treasurer for the application review fee and the licensure fee as required by 201 KAR 43:030;</w:t>
      </w:r>
    </w:p>
    <w:p>
      <w:pPr>
        <w:pStyle w:val="kar_subsection"/>
      </w:pPr>
      <w:r>
        <w:rPr>
          <w:u w:val="single"/>
        </w:rPr>
        <w:t xml:space="preserve">(5)</w:t>
      </w:r>
      <w:r>
        <w:t xml:space="preserve"> </w:t>
      </w:r>
      <w:r>
        <w:rPr>
          <w:u w:val="single"/>
        </w:rPr>
        <w:t xml:space="preserve">Proof of compliance with the educational, examination, and credentialing requirements established in KRS 319C.080(1) for applicants seeking licensure as a behavior analyst and KRS 319C.080(2) for applicants seeking licensure as an assistant behavior analyst; and</w:t>
      </w:r>
    </w:p>
    <w:p>
      <w:pPr>
        <w:pStyle w:val="kar_subsection"/>
      </w:pPr>
      <w:r>
        <w:rPr>
          <w:u w:val="single"/>
        </w:rPr>
        <w:t xml:space="preserve">(6)</w:t>
      </w:r>
      <w:r>
        <w:t xml:space="preserve"> </w:t>
      </w:r>
      <w:r>
        <w:rPr>
          <w:u w:val="single"/>
        </w:rPr>
        <w:t xml:space="preserve">Proof of completion of at least five (5) hours of training in:</w:t>
      </w:r>
    </w:p>
    <w:p>
      <w:pPr>
        <w:pStyle w:val="kar_paragraph"/>
      </w:pPr>
      <w:r>
        <w:rPr>
          <w:u w:val="single"/>
        </w:rPr>
        <w:t xml:space="preserve">(a)</w:t>
      </w:r>
      <w:r>
        <w:t xml:space="preserve"> </w:t>
      </w:r>
      <w:r>
        <w:rPr>
          <w:u w:val="single"/>
        </w:rPr>
        <w:t xml:space="preserve">Adult abuse and neglect;</w:t>
      </w:r>
    </w:p>
    <w:p>
      <w:pPr>
        <w:pStyle w:val="kar_paragraph"/>
      </w:pPr>
      <w:r>
        <w:rPr>
          <w:u w:val="single"/>
        </w:rPr>
        <w:t xml:space="preserve">(b)</w:t>
      </w:r>
      <w:r>
        <w:t xml:space="preserve"> </w:t>
      </w:r>
      <w:r>
        <w:rPr>
          <w:u w:val="single"/>
        </w:rPr>
        <w:t xml:space="preserve">Child abuse, neglect, and dependency; or</w:t>
      </w:r>
    </w:p>
    <w:p>
      <w:pPr>
        <w:pStyle w:val="kar_paragraph"/>
      </w:pPr>
      <w:r>
        <w:rPr>
          <w:u w:val="single"/>
        </w:rPr>
        <w:t xml:space="preserve">(c)</w:t>
      </w:r>
      <w:r>
        <w:t xml:space="preserve"> </w:t>
      </w:r>
      <w:r>
        <w:rPr>
          <w:u w:val="single"/>
        </w:rPr>
        <w:t xml:space="preserve">A combination of subparagraphs (a) and (b) of this subsection. The completed proof(s) shall indicate that abuse, neglect, or dependency was explicitly covered in the training.</w:t>
      </w:r>
    </w:p>
    <w:p>
      <w:pPr>
        <w:pStyle w:val="kar_subsection"/>
      </w:pPr>
      <w:r>
        <w:rPr>
          <w:u w:val="single"/>
        </w:rPr>
        <w:t xml:space="preserve">(7)</w:t>
      </w:r>
      <w:r>
        <w:t xml:space="preserve"> </w:t>
      </w:r>
      <w:r>
        <w:rPr>
          <w:u w:val="single"/>
        </w:rPr>
        <w:t xml:space="preserve">Applicants for licensure as an assistant behavior analyst shall also submit a completed Supervisory Plan, Form ABA-002, as incorporated by reference in 201 KAR 43:050, for board approval.</w:t>
      </w:r>
    </w:p>
    <w:p>
      <w:pPr>
        <w:pStyle w:val="kar_subsection"/>
      </w:pPr>
      <w:r>
        <w:rPr>
          <w:u w:val="single"/>
        </w:rPr>
        <w:t xml:space="preserve">(8)</w:t>
      </w:r>
      <w:r>
        <w:t xml:space="preserve"> </w:t>
      </w:r>
      <w:r>
        <w:rPr>
          <w:u w:val="single"/>
        </w:rPr>
        <w:t xml:space="preserve">A licensed assistant behavior analyst may apply for licensure as a licensed behavior analyst at any time within the two (2) year licensure period after meeting the requirements established in this administrative regulation. A final Report of Supervision, Form ABA-003</w:t>
      </w:r>
      <w:r>
        <w:t xml:space="preserve">, </w:t>
      </w:r>
      <w:r>
        <w:rPr>
          <w:u w:val="single"/>
        </w:rPr>
        <w:t xml:space="preserve">as incorporated by reference in 201 KAR 43:050, shall also be submitted for board approval.</w:t>
      </w:r>
    </w:p>
    <w:p>
      <w:pPr>
        <w:pStyle w:val="kar_section"/>
      </w:pPr>
      <w:r>
        <w:t xml:space="preserve">Section 2.</w:t>
      </w:r>
      <w:r>
        <w:t xml:space="preserve"> </w:t>
      </w:r>
      <w:r>
        <w:rPr>
          <w:u w:val="single"/>
        </w:rPr>
        <w:t xml:space="preserve">Applications Committee. The applications committee shall consist of at least two (2) board members appointed by the chair of the board. The applications committee may be assisted by the board staff and counsel to the board. The applications committee shall:</w:t>
      </w:r>
      <w:r>
        <w:t>[</w:t>
      </w:r>
      <w:r>
        <w:rPr>
          <w:strike w:val="true"/>
        </w:rPr>
        <w:t xml:space="preserve">Licensure of Behavior Analysts. The applicant for licensure as a behavior analyst shall submit</w:t>
      </w:r>
      <w:r>
        <w:t>]</w:t>
      </w:r>
      <w:r>
        <w:t>[</w:t>
      </w:r>
      <w:r>
        <w:rPr>
          <w:strike w:val="true"/>
        </w:rPr>
        <w:t xml:space="preserve">:</w:t>
      </w:r>
      <w:r>
        <w:t>]</w:t>
      </w:r>
    </w:p>
    <w:p>
      <w:pPr>
        <w:pStyle w:val="kar_subsection"/>
      </w:pPr>
      <w:r>
        <w:t xml:space="preserve">(1)</w:t>
      </w:r>
      <w:r>
        <w:t xml:space="preserve"> </w:t>
      </w:r>
      <w:r>
        <w:rPr>
          <w:u w:val="single"/>
        </w:rPr>
        <w:t xml:space="preserve">Review applications for licensure including renewals and reinstatements;</w:t>
      </w:r>
      <w:r>
        <w:t>[</w:t>
      </w:r>
      <w:r>
        <w:rPr>
          <w:strike w:val="true"/>
        </w:rPr>
        <w:t xml:space="preserve">A check or money order payable to the Kentucky State Treasurer for the application review fee and the licensure fee as required by 201 KAR 43:030;</w:t>
      </w:r>
      <w:r>
        <w:t>]</w:t>
      </w:r>
    </w:p>
    <w:p>
      <w:pPr>
        <w:pStyle w:val="kar_subsection"/>
      </w:pPr>
      <w:r>
        <w:t xml:space="preserve">(2)</w:t>
      </w:r>
      <w:r>
        <w:t xml:space="preserve"> </w:t>
      </w:r>
      <w:r>
        <w:rPr>
          <w:u w:val="single"/>
        </w:rPr>
        <w:t xml:space="preserve">Review Supervisory Plans and Reports of Supervision;</w:t>
      </w:r>
      <w:r>
        <w:t>[</w:t>
      </w:r>
      <w:r>
        <w:rPr>
          <w:strike w:val="true"/>
        </w:rPr>
        <w:t xml:space="preserve">Proof of compliance with the educational, examination, and credentialing requirements established in KRS 319C.080(1); and</w:t>
      </w:r>
      <w:r>
        <w:t>]</w:t>
      </w:r>
    </w:p>
    <w:p>
      <w:pPr>
        <w:pStyle w:val="kar_subsection"/>
      </w:pPr>
      <w:r>
        <w:t xml:space="preserve">(3)</w:t>
      </w:r>
      <w:r>
        <w:t xml:space="preserve"> </w:t>
      </w:r>
      <w:r>
        <w:rPr>
          <w:u w:val="single"/>
        </w:rPr>
        <w:t xml:space="preserve">Make recommendations to the board to approve, defer, or deny applications; and</w:t>
      </w:r>
      <w:r>
        <w:t>[</w:t>
      </w:r>
      <w:r>
        <w:rPr>
          <w:strike w:val="true"/>
        </w:rPr>
        <w:t xml:space="preserve">Proof of completion of at least five (5) hours of training in:</w:t>
      </w:r>
      <w:r>
        <w:t>]</w:t>
      </w:r>
    </w:p>
    <w:p>
      <w:pPr>
        <w:pStyle w:val="kar_paragraph"/>
      </w:pPr>
      <w:r>
        <w:t>[</w:t>
      </w:r>
      <w:r>
        <w:rPr>
          <w:strike w:val="true"/>
        </w:rPr>
        <w:t xml:space="preserve">(a)</w:t>
      </w:r>
      <w:r>
        <w:t>]</w:t>
      </w:r>
      <w:r>
        <w:t xml:space="preserve"> </w:t>
      </w:r>
      <w:r>
        <w:t>[</w:t>
      </w:r>
      <w:r>
        <w:rPr>
          <w:strike w:val="true"/>
        </w:rPr>
        <w:t xml:space="preserve">Adult abuse and neglect prevention;</w:t>
      </w:r>
      <w:r>
        <w:t>]</w:t>
      </w:r>
    </w:p>
    <w:p>
      <w:pPr>
        <w:pStyle w:val="kar_paragraph"/>
      </w:pPr>
      <w:r>
        <w:t>[</w:t>
      </w:r>
      <w:r>
        <w:rPr>
          <w:strike w:val="true"/>
        </w:rPr>
        <w:t xml:space="preserve">(b)</w:t>
      </w:r>
      <w:r>
        <w:t>]</w:t>
      </w:r>
      <w:r>
        <w:t xml:space="preserve"> </w:t>
      </w:r>
      <w:r>
        <w:t>[</w:t>
      </w:r>
      <w:r>
        <w:rPr>
          <w:strike w:val="true"/>
        </w:rPr>
        <w:t xml:space="preserve">Child abuse, neglect, and dependency prevention; or</w:t>
      </w:r>
      <w:r>
        <w:t>]</w:t>
      </w:r>
    </w:p>
    <w:p>
      <w:pPr>
        <w:pStyle w:val="kar_paragraph"/>
      </w:pPr>
      <w:r>
        <w:t>[</w:t>
      </w:r>
      <w:r>
        <w:rPr>
          <w:strike w:val="true"/>
        </w:rPr>
        <w:t xml:space="preserve">(c)</w:t>
      </w:r>
      <w:r>
        <w:t>]</w:t>
      </w:r>
      <w:r>
        <w:t xml:space="preserve"> </w:t>
      </w:r>
      <w:r>
        <w:t>[</w:t>
      </w:r>
      <w:r>
        <w:rPr>
          <w:strike w:val="true"/>
        </w:rPr>
        <w:t xml:space="preserve">A combination of paragraphs (a) and (b) of this subsection.</w:t>
      </w:r>
      <w:r>
        <w:t>]</w:t>
      </w:r>
    </w:p>
    <w:p>
      <w:pPr>
        <w:pStyle w:val="kar_subsection"/>
      </w:pPr>
      <w:r>
        <w:rPr>
          <w:u w:val="single"/>
        </w:rPr>
        <w:t xml:space="preserve">(4)</w:t>
      </w:r>
      <w:r>
        <w:t xml:space="preserve"> </w:t>
      </w:r>
      <w:r>
        <w:rPr>
          <w:u w:val="single"/>
        </w:rPr>
        <w:t xml:space="preserve">Make recommendations to the board to approve or require revisions to Supervisory Plans and Reports of Supervision.</w:t>
      </w:r>
    </w:p>
    <w:p>
      <w:pPr>
        <w:pStyle w:val="kar_section"/>
      </w:pPr>
      <w:r>
        <w:t xml:space="preserve">Section 3.</w:t>
      </w:r>
      <w:r>
        <w:t xml:space="preserve"> </w:t>
      </w:r>
      <w:r>
        <w:t>[</w:t>
      </w:r>
      <w:r>
        <w:rPr>
          <w:strike w:val="true"/>
        </w:rPr>
        <w:t xml:space="preserve">Licensure of Assistant Behavior Analysts. The applicant for licensure as an assistant behavior analyst shall submit:</w:t>
      </w:r>
      <w:r>
        <w:t>]</w:t>
      </w:r>
    </w:p>
    <w:p>
      <w:pPr>
        <w:pStyle w:val="kar_subsection"/>
      </w:pPr>
      <w:r>
        <w:t>[</w:t>
      </w:r>
      <w:r>
        <w:rPr>
          <w:strike w:val="true"/>
        </w:rPr>
        <w:t xml:space="preserve">(1)</w:t>
      </w:r>
      <w:r>
        <w:t>]</w:t>
      </w:r>
      <w:r>
        <w:t xml:space="preserve"> </w:t>
      </w:r>
      <w:r>
        <w:t>[</w:t>
      </w:r>
      <w:r>
        <w:rPr>
          <w:strike w:val="true"/>
        </w:rPr>
        <w:t xml:space="preserve">A check or money order payable to the Kentucky State Treasurer for the application review fee and the licensure fee as required by 201 KAR 43:030;</w:t>
      </w:r>
      <w:r>
        <w:t>]</w:t>
      </w:r>
    </w:p>
    <w:p>
      <w:pPr>
        <w:pStyle w:val="kar_subsection"/>
      </w:pPr>
      <w:r>
        <w:t>[</w:t>
      </w:r>
      <w:r>
        <w:rPr>
          <w:strike w:val="true"/>
        </w:rPr>
        <w:t xml:space="preserve">(2)</w:t>
      </w:r>
      <w:r>
        <w:t>]</w:t>
      </w:r>
      <w:r>
        <w:t xml:space="preserve"> </w:t>
      </w:r>
      <w:r>
        <w:t>[</w:t>
      </w:r>
      <w:r>
        <w:rPr>
          <w:strike w:val="true"/>
        </w:rPr>
        <w:t xml:space="preserve">Proof of compliance with the educational, examination, and credentialing requirements established in KRS 319C.080(2); and</w:t>
      </w:r>
      <w:r>
        <w:t>]</w:t>
      </w:r>
    </w:p>
    <w:p>
      <w:pPr>
        <w:pStyle w:val="kar_subsection"/>
      </w:pPr>
      <w:r>
        <w:t>[</w:t>
      </w:r>
      <w:r>
        <w:rPr>
          <w:strike w:val="true"/>
        </w:rPr>
        <w:t xml:space="preserve">(3)</w:t>
      </w:r>
      <w:r>
        <w:t>]</w:t>
      </w:r>
      <w:r>
        <w:t xml:space="preserve"> </w:t>
      </w:r>
      <w:r>
        <w:t>[</w:t>
      </w:r>
      <w:r>
        <w:rPr>
          <w:strike w:val="true"/>
        </w:rPr>
        <w:t xml:space="preserve">Proof of completion of at least five (5) hours of training in:</w:t>
      </w:r>
      <w:r>
        <w:t>]</w:t>
      </w:r>
    </w:p>
    <w:p>
      <w:pPr>
        <w:pStyle w:val="kar_paragraph"/>
      </w:pPr>
      <w:r>
        <w:t>[</w:t>
      </w:r>
      <w:r>
        <w:rPr>
          <w:strike w:val="true"/>
        </w:rPr>
        <w:t xml:space="preserve">(a)</w:t>
      </w:r>
      <w:r>
        <w:t>]</w:t>
      </w:r>
      <w:r>
        <w:t xml:space="preserve"> </w:t>
      </w:r>
      <w:r>
        <w:t>[</w:t>
      </w:r>
      <w:r>
        <w:rPr>
          <w:strike w:val="true"/>
        </w:rPr>
        <w:t xml:space="preserve">Adult abuse and neglect prevention;</w:t>
      </w:r>
      <w:r>
        <w:t>]</w:t>
      </w:r>
    </w:p>
    <w:p>
      <w:pPr>
        <w:pStyle w:val="kar_paragraph"/>
      </w:pPr>
      <w:r>
        <w:t>[</w:t>
      </w:r>
      <w:r>
        <w:rPr>
          <w:strike w:val="true"/>
        </w:rPr>
        <w:t xml:space="preserve">(b)</w:t>
      </w:r>
      <w:r>
        <w:t>]</w:t>
      </w:r>
      <w:r>
        <w:t xml:space="preserve"> </w:t>
      </w:r>
      <w:r>
        <w:t>[</w:t>
      </w:r>
      <w:r>
        <w:rPr>
          <w:strike w:val="true"/>
        </w:rPr>
        <w:t xml:space="preserve">Child abuse, neglect, and dependency prevention; or</w:t>
      </w:r>
      <w:r>
        <w:t>]</w:t>
      </w:r>
    </w:p>
    <w:p>
      <w:pPr>
        <w:pStyle w:val="kar_paragraph"/>
      </w:pPr>
      <w:r>
        <w:t>[</w:t>
      </w:r>
      <w:r>
        <w:rPr>
          <w:strike w:val="true"/>
        </w:rPr>
        <w:t xml:space="preserve">(c)</w:t>
      </w:r>
      <w:r>
        <w:t>]</w:t>
      </w:r>
      <w:r>
        <w:t xml:space="preserve"> </w:t>
      </w:r>
      <w:r>
        <w:t>[</w:t>
      </w:r>
      <w:r>
        <w:rPr>
          <w:strike w:val="true"/>
        </w:rPr>
        <w:t xml:space="preserve">A combination of paragraphs (a) and (b) of this subsection.</w:t>
      </w:r>
      <w:r>
        <w:t>]</w:t>
      </w:r>
    </w:p>
    <w:p>
      <w:pPr>
        <w:pStyle w:val="kar_section"/>
      </w:pPr>
      <w:r>
        <w:t>[</w:t>
      </w:r>
      <w:r>
        <w:rPr>
          <w:strike w:val="true"/>
        </w:rPr>
        <w:t xml:space="preserve">Section 4.</w:t>
      </w:r>
      <w:r>
        <w:t>]</w:t>
      </w:r>
      <w:r>
        <w:t xml:space="preserve"> </w:t>
      </w:r>
      <w:r>
        <w:t xml:space="preserve">Incorporation by Reference.</w:t>
      </w:r>
    </w:p>
    <w:p>
      <w:pPr>
        <w:pStyle w:val="kar_subsection"/>
      </w:pPr>
      <w:r>
        <w:t xml:space="preserve">(1)</w:t>
      </w:r>
      <w:r>
        <w:t xml:space="preserve"> </w:t>
      </w:r>
      <w:r>
        <w:t xml:space="preserve">Form ABA-001, "Application for Licensure", </w:t>
      </w:r>
      <w:r>
        <w:rPr>
          <w:u w:val="single"/>
        </w:rPr>
        <w:t xml:space="preserve">October 2021</w:t>
      </w:r>
      <w:r>
        <w:t>[</w:t>
      </w:r>
      <w:r>
        <w:rPr>
          <w:strike w:val="true"/>
        </w:rPr>
        <w:t xml:space="preserve">October 2015</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Kentucky Applied Behavior Analysis Licensing Board, </w:t>
      </w:r>
      <w:r>
        <w:rPr>
          <w:u w:val="single"/>
        </w:rPr>
        <w:t xml:space="preserve">500 Mero Street, 2SC32</w:t>
      </w:r>
      <w:r>
        <w:t>[</w:t>
      </w:r>
      <w:r>
        <w:rPr>
          <w:strike w:val="true"/>
        </w:rPr>
        <w:t xml:space="preserve">911 Leawood Drive</w:t>
      </w:r>
      <w:r>
        <w:t>]</w:t>
      </w:r>
      <w:r>
        <w:t xml:space="preserve">, Frankfort, Kentucky 40601, Monday through Friday, 8 a.m. to 4:30 p.m. </w:t>
      </w:r>
      <w:r>
        <w:rPr>
          <w:u w:val="single"/>
        </w:rPr>
        <w:t xml:space="preserve">This material is also available on the board's Web site at aba.ky.gov.</w:t>
      </w:r>
    </w:p>
    <w:p>
      <w:pPr>
        <w:pStyle w:val="kar_signature"/>
      </w:pPr>
      <w:r>
        <w:t xml:space="preserve">DR. ERICK DUBUQUE, Board Chair</w:t>
      </w:r>
    </w:p>
    <w:p>
      <w:pPr>
        <w:pStyle w:val="kar_normal"/>
      </w:pPr>
      <w:r>
        <w:t xml:space="preserve"/>
      </w:r>
    </w:p>
    <w:p>
      <w:pPr>
        <w:pStyle w:val="kar_approved_by"/>
      </w:pPr>
      <w:r>
        <w:t xml:space="preserve">APPROVED BY AGENCY: November 11, 2021</w:t>
      </w:r>
    </w:p>
    <w:p>
      <w:pPr>
        <w:pStyle w:val="kar_filed"/>
      </w:pPr>
      <w:r>
        <w:t xml:space="preserve">FILED WITH LRC: November 15, 2021 at 10:30 a.m.</w:t>
      </w:r>
    </w:p>
    <w:p>
      <w:pPr>
        <w:pStyle w:val="kar_normal"/>
      </w:pPr>
      <w:r>
        <w:t xml:space="preserve"/>
      </w:r>
    </w:p>
    <w:p>
      <w:pPr>
        <w:pStyle w:val="kar_comment_period"/>
      </w:pPr>
      <w:r>
        <w:t xml:space="preserve">PUBLIC HEARING AND PUBLIC COMMENT PERIOD: A public hearing on this administrative regulation shall, if requested, be held on January 31, 2022 at 2:00 p.m. in Room 133, The Mayo-Underwood Building, 500 Mero Street, Frankfort, Kentucky 40601. All attendees shall comply with all Executive Orders relating to the State of Emergency as may be in effect on the date of the public hearing, which may be found at: https://governor.ky.gov/covid-19. Members of the public may utilize the following link to attend the meeting by video conference:</w:t>
      </w:r>
    </w:p>
    <w:p>
      <w:pPr>
        <w:pStyle w:val="kar_contact_person"/>
      </w:pPr>
      <w:r>
        <w:t xml:space="preserve">CONTACT PERSON: Kevin Winstead, Commissioner, Department of Professional Licensing, 500 Mero Street, phone (502) 782-8805, fax (502) 564-3969, email KevinR.Winstead@ky.gov.</w:t>
      </w:r>
    </w:p>
    <w:p>
      <w:pPr>
        <w:pStyle w:val="kar_form_name"/>
      </w:pPr>
      <w:r>
        <w:t xml:space="preserve">REGULATORY IMPACT ANALYSIS AND TIERING STATEMENT</w:t>
      </w:r>
    </w:p>
    <w:p>
      <w:pPr>
        <w:pStyle w:val="kar_normal"/>
        <w:ind w:left="0"/>
      </w:pPr>
      <w:r>
        <w:t xml:space="preserve">Contact Person:</w:t>
      </w:r>
      <w:r>
        <w:t xml:space="preserve"> Kevin Winstead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319C.060(2)(a) requires the board to promulgate administrative regulations establishing the requirements for an applicant for licensure as a behavior analyst or assistant behavior analyst. This administrative regulation establishes the requirements for applicants for licensure.</w:t>
      </w:r>
    </w:p>
    <w:p>
      <w:pPr>
        <w:pStyle w:val="kar_normal"/>
        <w:ind w:left="576"/>
      </w:pPr>
      <w:r>
        <w:t xml:space="preserve">(b) The necessity of this administrative regulation:</w:t>
      </w:r>
    </w:p>
    <w:p>
      <w:pPr>
        <w:pStyle w:val="kar_normal"/>
        <w:ind w:left="720"/>
      </w:pPr>
      <w:r>
        <w:t xml:space="preserve">This administrative regulation is required by KRS 319C.060(2)(a).</w:t>
      </w:r>
    </w:p>
    <w:p>
      <w:pPr>
        <w:pStyle w:val="kar_normal"/>
        <w:ind w:left="576"/>
      </w:pPr>
      <w:r>
        <w:t xml:space="preserve">(c) How this administrative regulation conforms to the content of the authorizing statutes:</w:t>
      </w:r>
    </w:p>
    <w:p>
      <w:pPr>
        <w:pStyle w:val="kar_normal"/>
        <w:ind w:left="720"/>
      </w:pPr>
      <w:r>
        <w:t xml:space="preserve">KRS 319C.060(2)(a) requires the board to promulgate administrative regulations establishing the requirements for an applicant for licensure as a behavior analyst or assistant behavior analyst. This administrative regulation establishes the requirements for applicants for licensure.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effective administration of KRS Chapter 319C by carrying out the legislative mandate for the board to establish regulations for the practice of behavior analysis.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makes clear that behavior analysists and assistant behavior analysists have different statutory licensing requirements. The amendment clarifies requirements for licensure, and what an applicant is required to submit to the board with their application. The amendment establishes an Applications Committee.</w:t>
      </w:r>
    </w:p>
    <w:p>
      <w:pPr>
        <w:pStyle w:val="kar_normal"/>
        <w:ind w:left="576"/>
      </w:pPr>
      <w:r>
        <w:t xml:space="preserve">(b) The necessity of the amendment to this administrative regulation:</w:t>
      </w:r>
    </w:p>
    <w:p>
      <w:pPr>
        <w:pStyle w:val="kar_normal"/>
        <w:ind w:left="720"/>
      </w:pPr>
      <w:r>
        <w:t xml:space="preserve">See (1)(b).</w:t>
      </w:r>
    </w:p>
    <w:p>
      <w:pPr>
        <w:pStyle w:val="kar_normal"/>
        <w:ind w:left="576"/>
      </w:pPr>
      <w:r>
        <w:t xml:space="preserve">(c) How the amendment conforms to the content of the authorizing statutes:</w:t>
      </w:r>
    </w:p>
    <w:p>
      <w:pPr>
        <w:pStyle w:val="kar_normal"/>
        <w:ind w:left="720"/>
      </w:pPr>
      <w:r>
        <w:t xml:space="preserve">See (1)(c).</w:t>
      </w:r>
    </w:p>
    <w:p>
      <w:pPr>
        <w:pStyle w:val="kar_normal"/>
        <w:ind w:left="576"/>
      </w:pPr>
      <w:r>
        <w:t xml:space="preserve">(d) How the amendment will assist in the effective administration of the statutes:</w:t>
      </w:r>
    </w:p>
    <w:p>
      <w:pPr>
        <w:pStyle w:val="kar_normal"/>
        <w:ind w:left="720"/>
      </w:pPr>
      <w:r>
        <w:t xml:space="preserve">See (1)(d).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affect an unknown number of applicants for licensure as behavior analysts and assistant behavior analysts. The regulation will affect the Board via the creation of the Applications Committee.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This regulation will provide updated requirements for licensure. Applications Committee members will be required to review applications for licensure. (b) In complying with this administrative regulation or amendment, how much will it cost each of the entities: This administrative regulation, by reference to 201 KAR 43:030, stands to generate an additional $300 per licensed behavior analyst applicant, and an additional $200 per licensed behavior analyst assistant applicant. (c) As a result of compliance, what benefits will accrue to the entities: This regulation will allow applicants for licensure to have an updated understanding of the requirements to obtain licensure, and makes clear that different applicants will have different requirements to obtain licensure.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administrative regulation does not create a cost for the administrative body.</w:t>
      </w:r>
    </w:p>
    <w:p>
      <w:pPr>
        <w:pStyle w:val="kar_normal"/>
        <w:ind w:left="576"/>
      </w:pPr>
      <w:r>
        <w:t xml:space="preserve">(b) On a continuing basis:</w:t>
      </w:r>
    </w:p>
    <w:p>
      <w:pPr>
        <w:pStyle w:val="kar_normal"/>
        <w:ind w:left="720"/>
      </w:pPr>
      <w:r>
        <w:t xml:space="preserve">This administrative regulation does not create a cost for the administrative body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Kentucky Applied Behavior Analysis Licensing Board is self-funded through the fees paid by licensees. No additional funding is necessary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increases in fees or funding is necessary to implement the amendment to this administrative regulation.</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By reference to the updated fees provided by the amended 201 KAR 43:030, this regulation will indirectly increase fees.</w:t>
      </w:r>
    </w:p>
    <w:p>
      <w:pPr>
        <w:pStyle w:val="kar_normal"/>
        <w:ind w:left="288"/>
      </w:pPr>
      <w:r>
        <w:t xml:space="preserve">(9) TIERING: Is tiering applied?</w:t>
      </w:r>
    </w:p>
    <w:p>
      <w:pPr>
        <w:pStyle w:val="kar_normal"/>
        <w:ind w:left="432"/>
      </w:pPr>
      <w:r>
        <w:t xml:space="preserve">Tiering is not applied because similarly situated licensees are treated similarly under this administrative regulation.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regulation impacts the Kentucky Applied Behavior Analysis Licensing Board.</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319C.060(2)(a).</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by reference to 201 KAR 43:030, stands to generate an additional $300 per licensed behavior analyst applicant, and an additional $200 per licensed behavior analyst assistant applicant.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are no additional costs.</w:t>
      </w:r>
    </w:p>
    <w:p>
      <w:pPr>
        <w:pStyle w:val="kar_normal"/>
        <w:ind w:left="576"/>
      </w:pPr>
      <w:r>
        <w:t xml:space="preserve">(d) How much will it cost to administer this program for subsequent years?</w:t>
      </w:r>
    </w:p>
    <w:p>
      <w:pPr>
        <w:pStyle w:val="kar_normal"/>
        <w:ind w:left="720"/>
      </w:pPr>
      <w:r>
        <w:t xml:space="preserve">See 3(c).</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7bb768d34b4949" /><Relationship Type="http://schemas.openxmlformats.org/officeDocument/2006/relationships/settings" Target="/word/settings.xml" Id="Rf83e3942db044e8b" /></Relationships>
</file>