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276717db244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43:020.</w:t>
      </w:r>
      <w:r>
        <w:t xml:space="preserve"> </w:t>
      </w:r>
      <w:r>
        <w:t xml:space="preserve">Application procedures for temporary licensure.</w:t>
      </w:r>
    </w:p>
    <w:p>
      <w:pPr>
        <w:pStyle w:val="kar_markup_metadata"/>
      </w:pPr>
      <w:r>
        <w:t xml:space="preserve">RELATES TO: </w:t>
      </w:r>
      <w:r>
        <w:t xml:space="preserve">KRS 319C.080(3)</w:t>
      </w:r>
    </w:p>
    <w:p>
      <w:pPr>
        <w:pStyle w:val="kar_markup_metadata"/>
      </w:pPr>
      <w:r>
        <w:t xml:space="preserve">STATUTORY AUTHORITY: </w:t>
      </w:r>
      <w:r>
        <w:t xml:space="preserve">KRS 319C.060(2)(a)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319C.060(2)(a) requires the board to promulgate administrative regulations establishing the requirements for an applicant for temporary licensure as a behavior analyst or assistant behavior analyst. This administrative regulation establishes the requirements for applicants for temporary licensure.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Application procedures.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application for a temporary license as a behavior analyst or assistant behavior analyst shall be submitted after the requirements established in KRS 319C.080(3) are met.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application required by subsection (1) of this section shall be made by submitting to the board a completed Form ABA-001, Application for Licensure, as incorporated by reference in 201 KAR 43:010.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application shall include a certification by the applicant that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Information in the application is true, correct, and complete to the best of his or her knowledge and belief;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Applicant is aware that a misrepresentation or falsification in the application is grounds for denial or revocation of the license;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Applicant is aware that any temporary license issued expires four (4) years from the issuance date and shall not be renewed.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applicant has completed the coursework through a Behavior Analyst Certification Board (BACB) or Association for Behavior Analysis International (ABAI) Verified Course Sequence (VCS), the application shall include an official post-secondary transcript and VCS course sequence number.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applicant has completed coursework from a non-BACB or non-ABAI VCS program, the application shall include an official post-secondary transcript and course syllabi for all behavior-analytic coursework showing that the applicant has met the most current BACB coursework requirements for eligibility to sit for the Board Certified Behavior Analyst (BCBA) examination for applicants applying for a temporary license as a behavior analyst or the Board Certified Assistant Behavior Analyst examination for applicants applying for a temporary license as an assistant behavior analyst.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applicant shall submit check or money order payable to the Kentucky State Treasurer for the application review fee and the licensure fee as required by 201 KAR 43:030;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applicant shall submit proof of compliance with the educational, examination, and credentialing requirements established in KRS 319C.080(1);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applicant shall submit proof of completion of at least five (5) hours of training in: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Adult abuse and neglect;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Child abuse, neglect, and dependency;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combination of paragraphs (a) and (b) of this subsection. The completed proofs(s) shall indicate that abuse, neglect, or dependency was explicitly covered in the training.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Applicants for temporary licensure as a behavior analyst or assistant behavior analyst shall also submit a completed Supervisory Plan for board approval.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(7)</w:t>
      </w:r>
      <w:r>
        <w:t xml:space="preserve"> </w:t>
      </w:r>
      <w:r>
        <w:t xml:space="preserve">An application for full licensure may be submitted at any time within the four (4) year period temporary licensure period after meeting the requirements established in KRS 319C.080(1) and (2). A final Report of Supervision, as incorporated by reference in 201 KAR 43:050, shall also be submitted for board approval.[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f7f80da304169" /><Relationship Type="http://schemas.openxmlformats.org/officeDocument/2006/relationships/settings" Target="/word/settings.xml" Id="Rd57202bc05364a9d" /></Relationships>
</file>