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dfeaa8f9a4cf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1:050.</w:t>
      </w:r>
      <w:r>
        <w:t xml:space="preserve"> </w:t>
      </w:r>
      <w:r>
        <w:t xml:space="preserve">Granting final discharge from parole.</w:t>
      </w:r>
    </w:p>
    <w:p>
      <w:pPr>
        <w:pStyle w:val="kar_markup_metadata"/>
      </w:pPr>
      <w:r>
        <w:t xml:space="preserve">RELATES TO: </w:t>
      </w:r>
      <w:r>
        <w:t xml:space="preserve">KRS 439.352, 439.356, 439.358, 439.563, 532.043, 532.060(3)</w:t>
      </w:r>
    </w:p>
    <w:p>
      <w:pPr>
        <w:pStyle w:val="kar_markup_metadata"/>
      </w:pPr>
      <w:r>
        <w:t xml:space="preserve">STATUTORY AUTHORITY: </w:t>
      </w:r>
      <w:r>
        <w:t xml:space="preserve">KRS 439.330(1)(g), 439.340(3)(b), 439.354, 439.563</w:t>
      </w:r>
    </w:p>
    <w:p>
      <w:pPr>
        <w:pStyle w:val="kar_markup_metadata"/>
      </w:pPr>
      <w:r>
        <w:t xml:space="preserve">NECESSITY, FUNCTION, AND CONFORMITY: </w:t>
      </w:r>
      <w:r>
        <w:t xml:space="preserve">KRS 439.340(3) (b) authorizes the Parole Board to establish administrative regulations concerning matters that come before it. KRS 439.330(1)(g) authorizes  the Parole Board to grant a final discharge from parole. KRS 439.563 prohibits final discharge from parole if an identified victim of the crime or a government agency to whom restitution has been ordered has not yet been paid in full. This administrative regulation establishes the procedure for final discharge for parole.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If an offender paroled prior to July 15, 1998, reaches the maximum expiration date of his sentence, a final discharge from parole shall be issued automatically by the board.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If an offender paroled on or after July 15, 1998, owes restitution, he shall not automatically receive a final discharge from parole upon reaching the maximum expiration of his sentence.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board shall not issue a final discharge to a parolee until he pays restitution in full in compliance with KRS 439.563(5).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Verification of payment of restitution shall be obtained from the parole officer.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(15 Ky.R. 1193; eff. 12-2-1988; Am. 21 Ky.R. 2172; eff. 5-4-1995; 25 Ky.R. 610; 1037; eff. 11-20-1998; 48 Ky.R. 928, 1731; eff. 3-1-2022.)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df357b4f354a47" /><Relationship Type="http://schemas.openxmlformats.org/officeDocument/2006/relationships/settings" Target="/word/settings.xml" Id="R72afdeee6911494f" /></Relationships>
</file>