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d9e11e34f54192" /></Relationships>
</file>

<file path=word/document.xml><?xml version="1.0" encoding="utf-8"?>
<w:document xmlns:w="http://schemas.openxmlformats.org/wordprocessingml/2006/main">
  <w:body>
    <w:p>
      <w:pPr>
        <w:pStyle w:val="kar_citation"/>
      </w:pPr>
      <w:r>
        <w:t>501 KAR 7:120.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admission, search, and release procedures for restricted custody centers.</w:t>
      </w:r>
    </w:p>
    <w:p>
      <w:pPr>
        <w:pStyle w:val="kar_section"/>
      </w:pPr>
      <w:r>
        <w:t xml:space="preserve">Section 1.</w:t>
      </w:r>
      <w:r>
        <w:t xml:space="preserve"> </w:t>
      </w:r>
      <w:r>
        <w:t xml:space="preserve">Policy and Procedure. Each center shall develop written admission, orientation, and release procedures to be included in the center's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Jail personnel shall ensure that each prisoner is transferred under proper legal authority by a duly authorized officer.</w:t>
      </w:r>
    </w:p>
    <w:p>
      <w:pPr>
        <w:pStyle w:val="kar_subsection"/>
      </w:pPr>
      <w:r>
        <w:t xml:space="preserve">(2)</w:t>
      </w:r>
      <w:r>
        <w:t xml:space="preserve"> </w:t>
      </w:r>
      <w:r>
        <w:t xml:space="preserve">Prisoner records shall be delivered to the center when the prisoner is admitted. The admitting jail personnel shall make certain that all required forms are complete and that information is current.</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 upon admission.</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facility security. The search shall be conducted in a private area and in a manner which protects the prisoner's dignity to the extent possible in that particular center.</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in writing.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center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w:t>
      </w:r>
    </w:p>
    <w:p>
      <w:pPr>
        <w:pStyle w:val="kar_paragraph"/>
      </w:pPr>
      <w:r>
        <w:t xml:space="preserve">(b)</w:t>
      </w:r>
      <w:r>
        <w:t xml:space="preserve"> </w:t>
      </w:r>
      <w:r>
        <w:t xml:space="preserve">Personal property released to a third party shall have the prisoner's signature of approval and the signature receipt of the third party.</w:t>
      </w:r>
    </w:p>
    <w:p>
      <w:pPr>
        <w:pStyle w:val="kar_section"/>
      </w:pPr>
      <w:r>
        <w:t xml:space="preserve">Section 4.</w:t>
      </w:r>
      <w:r>
        <w:t xml:space="preserve"> </w:t>
      </w:r>
      <w:r>
        <w:t xml:space="preserve">Orientation.</w:t>
      </w:r>
    </w:p>
    <w:p>
      <w:pPr>
        <w:pStyle w:val="kar_subsection"/>
      </w:pPr>
      <w:r>
        <w:t xml:space="preserve">(1)</w:t>
      </w:r>
      <w:r>
        <w:t xml:space="preserve"> </w:t>
      </w:r>
      <w:r>
        <w:t xml:space="preserve">The prisoner shall sign to indicate if he has received an oral and a written copy of the prisoner orientation information. This document shall be placed in the prisoner's file. Special assistance shall be given to any illiterate or non-English speaking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7:060,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the center's jail personnel or department personnel. Prisoners shall follow the grievance procedure and attach a copy of the grievance forms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any prisoner is released or removed for any legal purpose to the custody of another, the identity of the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A complaint regarding property returned shall be submitted in writing with specific details within twenty-four (24) hours from the time of release.</w:t>
      </w:r>
    </w:p>
    <w:p>
      <w:pPr>
        <w:pStyle w:val="kar_section"/>
      </w:pPr>
      <w:r>
        <w:t xml:space="preserve">Section 6.</w:t>
      </w:r>
      <w:r>
        <w:t xml:space="preserve"> </w:t>
      </w:r>
      <w:r>
        <w:t xml:space="preserve">Transfer.</w:t>
      </w:r>
    </w:p>
    <w:p>
      <w:pPr>
        <w:pStyle w:val="kar_subsection"/>
      </w:pPr>
      <w:r>
        <w:t xml:space="preserve">(1)</w:t>
      </w:r>
      <w:r>
        <w:t xml:space="preserve"> </w:t>
      </w:r>
      <w:r>
        <w:t xml:space="preserve">The jailer shall develop policy and procedure to determine the conditions under which a prisoner becomes ineligible to remain at the restricted custody center and shall be transferred to the secure jail.</w:t>
      </w:r>
    </w:p>
    <w:p>
      <w:pPr>
        <w:pStyle w:val="kar_subsection"/>
      </w:pPr>
      <w:r>
        <w:t xml:space="preserve">(2)</w:t>
      </w:r>
      <w:r>
        <w:t xml:space="preserve"> </w:t>
      </w:r>
      <w:r>
        <w:t xml:space="preserve">A prisoner transferred to the secure jail shall be accompanied by:</w:t>
      </w:r>
    </w:p>
    <w:p>
      <w:pPr>
        <w:pStyle w:val="kar_paragraph"/>
      </w:pPr>
      <w:r>
        <w:t xml:space="preserve">(a)</w:t>
      </w:r>
      <w:r>
        <w:t xml:space="preserve"> </w:t>
      </w:r>
      <w:r>
        <w:t xml:space="preserve">An incident report specifying the reasons for the transfer;</w:t>
      </w:r>
    </w:p>
    <w:p>
      <w:pPr>
        <w:pStyle w:val="kar_paragraph"/>
      </w:pPr>
      <w:r>
        <w:t xml:space="preserve">(b)</w:t>
      </w:r>
      <w:r>
        <w:t xml:space="preserve"> </w:t>
      </w:r>
      <w:r>
        <w:t xml:space="preserve">The prisoner's record; and</w:t>
      </w:r>
    </w:p>
    <w:p>
      <w:pPr>
        <w:pStyle w:val="kar_paragraph"/>
      </w:pPr>
      <w:r>
        <w:t xml:space="preserve">(c)</w:t>
      </w:r>
      <w:r>
        <w:t xml:space="preserve"> </w:t>
      </w:r>
      <w:r>
        <w:t xml:space="preserve">The prisoner's personal property.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827; eff. 11-11-1986; Am. 19 Ky.R. 1880; eff. 6-7-1993; 26 Ky.R. 182; 27 Ky.R. 92; eff. 7-17-2000; 31 Ky.R. 1576; 1808; eff. 5-26-2005; 37 Ky.R. 2987; 38 Ky.R. 590; eff. 10-7-2011; 48 Ky.R. 958;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bcdf6df17b4af9" /><Relationship Type="http://schemas.openxmlformats.org/officeDocument/2006/relationships/settings" Target="/word/settings.xml" Id="Ra36d1e6ced244d3b" /></Relationships>
</file>