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35fad9611e491f"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30:020.</w:t>
      </w:r>
      <w:r>
        <w:t xml:space="preserve"> </w:t>
      </w:r>
      <w:r>
        <w:t xml:space="preserve">Arrest and disposition reporting procedure.</w:t>
      </w:r>
    </w:p>
    <w:p>
      <w:pPr>
        <w:pStyle w:val="kar_markup_metadata"/>
      </w:pPr>
      <w:r>
        <w:t xml:space="preserve">RELATES TO: </w:t>
      </w:r>
      <w:r>
        <w:t xml:space="preserve">KRS 17.110, 17.115</w:t>
      </w:r>
    </w:p>
    <w:p>
      <w:pPr>
        <w:pStyle w:val="kar_markup_metadata"/>
      </w:pPr>
      <w:r>
        <w:t xml:space="preserve">STATUTORY AUTHORITY: </w:t>
      </w:r>
      <w:r>
        <w:t xml:space="preserve">15A.160, </w:t>
      </w:r>
      <w:r>
        <w:t>[</w:t>
      </w:r>
      <w:r>
        <w:rPr>
          <w:strike w:val="true"/>
        </w:rPr>
        <w:t xml:space="preserve">17.080,</w:t>
      </w:r>
      <w:r>
        <w:t>]</w:t>
      </w:r>
      <w:r>
        <w:t xml:space="preserve"> 17.150</w:t>
      </w:r>
    </w:p>
    <w:p>
      <w:pPr>
        <w:pStyle w:val="kar_markup_metadata"/>
      </w:pPr>
      <w:r>
        <w:t xml:space="preserve">NECESSITY, FUNCTION, AND CONFORMITY: </w:t>
      </w:r>
      <w:r>
        <w:t xml:space="preserve">KRS 17.110 mandates that all city and county law enforcement agencies shall submit to the Justice Cabinet, Department of State Police, photographs, and a description report of the offense on all persons arrested</w:t>
      </w:r>
      <w:r>
        <w:t>[</w:t>
      </w:r>
      <w:r>
        <w:rPr>
          <w:strike w:val="true"/>
        </w:rPr>
        <w:t xml:space="preserve">on a felony charge</w:t>
      </w:r>
      <w:r>
        <w:t>]</w:t>
      </w:r>
      <w:r>
        <w:t xml:space="preserve">. KRS 17.115(2) requires persons in charge of any penal or correctional institution to provide the cabinet with fingerprints and descriptions on all persons committed to their custody or detained by them on cases where fingerprints and descriptions are taken, together with a report of the disposition. KRS 17.150(6) authorizes the Secretary of Justice to adopt administrative regulations that are necessary to insure the accuracy of </w:t>
      </w:r>
      <w:r>
        <w:t>[</w:t>
      </w:r>
      <w:r>
        <w:rPr>
          <w:strike w:val="true"/>
        </w:rPr>
        <w:t xml:space="preserve">said</w:t>
      </w:r>
      <w:r>
        <w:t>]</w:t>
      </w:r>
      <w:r>
        <w:t xml:space="preserve"> criminal history record information. This administrative regulation establishes arrest and disposition reporting procedures.</w:t>
      </w:r>
    </w:p>
    <w:p>
      <w:pPr>
        <w:pStyle w:val="kar_section"/>
      </w:pPr>
      <w:r>
        <w:t xml:space="preserve">Section 1.</w:t>
      </w:r>
      <w:r>
        <w:t xml:space="preserve"> </w:t>
      </w:r>
      <w:r>
        <w:t xml:space="preserve">Offense Reporting Procedure. </w:t>
      </w:r>
      <w:r>
        <w:t>[</w:t>
      </w:r>
      <w:r>
        <w:rPr>
          <w:strike w:val="true"/>
        </w:rPr>
        <w:t xml:space="preserve">Within thirty (30) days of the arrest for an offense covered by KRS 17.110, two (2) sets of fingerprint cards, a mug shot or the negative of the mug shot, and a general description report (UOR-1) of the offense shall submitted to Records. Further,</w:t>
      </w:r>
      <w:r>
        <w:t>]</w:t>
      </w:r>
      <w:r>
        <w:t xml:space="preserve"> Law enforcement and criminal justice agencies shall cooperate with Records by complying with a "unique numbering system" to allow court disposition tracing. The "unique numbering system" shall be accomplished by the issuance of a Uniform Citation with every </w:t>
      </w:r>
      <w:r>
        <w:t>[</w:t>
      </w:r>
      <w:r>
        <w:rPr>
          <w:strike w:val="true"/>
        </w:rPr>
        <w:t xml:space="preserve">felony</w:t>
      </w:r>
      <w:r>
        <w:t>]</w:t>
      </w:r>
      <w:r>
        <w:t xml:space="preserve"> arrest as </w:t>
      </w:r>
      <w:r>
        <w:rPr>
          <w:u w:val="single"/>
        </w:rPr>
        <w:t xml:space="preserve">it</w:t>
      </w:r>
      <w:r>
        <w:t xml:space="preserve"> relates to 502 KAR 30:020 subject to an agreement with the Chief Justice of the Supreme Court of Kentucky as set out in Section 2(2) of this administrative regulation.</w:t>
      </w:r>
    </w:p>
    <w:p>
      <w:pPr>
        <w:pStyle w:val="kar_section"/>
      </w:pPr>
      <w:r>
        <w:t xml:space="preserve">Section 2.</w:t>
      </w:r>
      <w:r>
        <w:t xml:space="preserve"> </w:t>
      </w:r>
      <w:r>
        <w:t xml:space="preserve">Disposition Reporting Procedures.</w:t>
      </w:r>
    </w:p>
    <w:p>
      <w:pPr>
        <w:pStyle w:val="kar_subsection"/>
      </w:pPr>
      <w:r>
        <w:t xml:space="preserve">(1)</w:t>
      </w:r>
      <w:r>
        <w:t xml:space="preserve"> </w:t>
      </w:r>
      <w:r>
        <w:t xml:space="preserve">Dispositions shall be submitted from each city and county law enforcement agency to Records</w:t>
      </w:r>
      <w:r>
        <w:rPr>
          <w:u w:val="single"/>
        </w:rPr>
        <w:t xml:space="preserve">;</w:t>
      </w:r>
      <w:r>
        <w:t>[</w:t>
      </w:r>
      <w:r>
        <w:rPr>
          <w:strike w:val="true"/>
        </w:rPr>
        <w:t xml:space="preserve">in the form of the Uniform Offense Report (UOR-3),</w:t>
      </w:r>
      <w:r>
        <w:t>]</w:t>
      </w:r>
      <w:r>
        <w:t xml:space="preserve"> or any subsequent disposition reporting instrument required by the Kentucky State Police.</w:t>
      </w:r>
    </w:p>
    <w:p>
      <w:pPr>
        <w:pStyle w:val="kar_subsection"/>
      </w:pPr>
      <w:r>
        <w:t xml:space="preserve">(2)</w:t>
      </w:r>
      <w:r>
        <w:t xml:space="preserve"> </w:t>
      </w:r>
      <w:r>
        <w:t xml:space="preserve">Upon suitable written agreement with the Chief Justice of the Kentucky Supreme Court and the Secretary of the Justice Cabinet, a unique tracking number will be assigned to each offender at the time of arrest. This unique number will be utilized throughout the movement of the offender through the criminal justice system, thereby enabling the Administrative Office of the Courts to provide a system compatible </w:t>
      </w:r>
      <w:r>
        <w:rPr>
          <w:u w:val="single"/>
        </w:rPr>
        <w:t xml:space="preserve">format</w:t>
      </w:r>
      <w:r>
        <w:t>[</w:t>
      </w:r>
      <w:r>
        <w:rPr>
          <w:strike w:val="true"/>
        </w:rPr>
        <w:t xml:space="preserve">computer tape</w:t>
      </w:r>
      <w:r>
        <w:t>]</w:t>
      </w:r>
      <w:r>
        <w:t xml:space="preserve"> to Records for automatic update of court dispositions in the CHRI files.</w:t>
      </w:r>
    </w:p>
    <w:p>
      <w:pPr>
        <w:pStyle w:val="kar_signature"/>
      </w:pPr>
      <w:r>
        <w:t xml:space="preserve">COL. 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26, 2021 at 4:30 p.m.</w:t>
      </w:r>
    </w:p>
    <w:p>
      <w:pPr>
        <w:pStyle w:val="kar_normal"/>
      </w:pPr>
      <w:r>
        <w:t xml:space="preserve"/>
      </w:r>
    </w:p>
    <w:p>
      <w:pPr>
        <w:pStyle w:val="kar_comment_period"/>
      </w:pPr>
      <w:r>
        <w:t xml:space="preserve">PUBLIC HEARING AND PUBLIC COMMENT PERIOD: A public hearing on this administrative regulation shall be held on 4:00 p.m. on November 22, 2021 at 4449 Kit Carson Drive, Funderburk Building, Richmond, Kentucky 40475.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November 30, 2021. Send written notification of intent to be heard at the public hearing or written comments on the proposed administrative regulation to the contact person below.</w:t>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arrest and disposition reporting procedures.</w:t>
      </w:r>
    </w:p>
    <w:p>
      <w:pPr>
        <w:pStyle w:val="kar_normal"/>
        <w:ind w:left="576"/>
      </w:pPr>
      <w:r>
        <w:t xml:space="preserve">(b) The necessity of this administrative regulation:</w:t>
      </w:r>
    </w:p>
    <w:p>
      <w:pPr>
        <w:pStyle w:val="kar_normal"/>
        <w:ind w:left="720"/>
      </w:pPr>
      <w:r>
        <w:t xml:space="preserve">This regulation is necessary in order to supply the Department with the required information pertaining to arrests made in the Commonwealth.</w:t>
      </w:r>
    </w:p>
    <w:p>
      <w:pPr>
        <w:pStyle w:val="kar_normal"/>
        <w:ind w:left="576"/>
      </w:pPr>
      <w:r>
        <w:t xml:space="preserve">(c) How this administrative regulation conforms to the content of the authorizing statutes:</w:t>
      </w:r>
    </w:p>
    <w:p>
      <w:pPr>
        <w:pStyle w:val="kar_normal"/>
        <w:ind w:left="720"/>
      </w:pPr>
      <w:r>
        <w:t xml:space="preserve">This regulation establishes the reporting system necessary to effectively inform the Department of arrests made in the Commonwealth, and the eventual disposition of the matter.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details the time allotted for an offense to be submitted to Records, and details the requirements of the unique numbering system in order to effectively keep track of the reported offenses.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the existing language of the regulation, and removes outdated terms and requirements, including the completion of a UOR-1 or UOR-3 form.</w:t>
      </w:r>
    </w:p>
    <w:p>
      <w:pPr>
        <w:pStyle w:val="kar_normal"/>
        <w:ind w:left="576"/>
      </w:pPr>
      <w:r>
        <w:t xml:space="preserve">(b) The necessity of the amendment to this administrative regulation:</w:t>
      </w:r>
    </w:p>
    <w:p>
      <w:pPr>
        <w:pStyle w:val="kar_normal"/>
        <w:ind w:left="720"/>
      </w:pPr>
      <w:r>
        <w:t xml:space="preserve">The amendment is necessary in order for the regulation to reflect current procedures implemented by the Department.</w:t>
      </w:r>
    </w:p>
    <w:p>
      <w:pPr>
        <w:pStyle w:val="kar_normal"/>
        <w:ind w:left="576"/>
      </w:pPr>
      <w:r>
        <w:t xml:space="preserve">(c) How the amendment conforms to the content of the authorizing statutes:</w:t>
      </w:r>
    </w:p>
    <w:p>
      <w:pPr>
        <w:pStyle w:val="kar_normal"/>
        <w:ind w:left="720"/>
      </w:pPr>
      <w:r>
        <w:t xml:space="preserve">The amended regulation allows for the reporting procedures to be more effectively understood by the Department and reporting agencies.</w:t>
      </w:r>
    </w:p>
    <w:p>
      <w:pPr>
        <w:pStyle w:val="kar_normal"/>
        <w:ind w:left="576"/>
      </w:pPr>
      <w:r>
        <w:t xml:space="preserve">(d) How the amendment will assist in the effective administration of the statutes:</w:t>
      </w:r>
    </w:p>
    <w:p>
      <w:pPr>
        <w:pStyle w:val="kar_normal"/>
        <w:ind w:left="720"/>
      </w:pPr>
      <w:r>
        <w:t xml:space="preserve">The amendment clarifies the existing language, which results in a more concise, and clear regulation; the amendment also removed outdated terms.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Kentucky State Police, and criminal justice agencies.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new or additional actions will have to be taken by the regulated entities in order to effectively comply with this amended regulation. (b) In complying with this administrative regulation or amendment, how much will it cost each of the entities: Nothing. (c) As a result of compliance, what benefits will accrue to the entities: The Department and criminal justice agencies will benefit from more clearly defined procedures, which will assist in the administration of the procedures.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will be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this regulation does not establish any new fees; nor does it directly or indirectly increase any fees.</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Kentucky State Police, and criminal justice agencies.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15A.160, 17.110, 17.115, 17.150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dd6fa52a304a39" /><Relationship Type="http://schemas.openxmlformats.org/officeDocument/2006/relationships/settings" Target="/word/settings.xml" Id="R4bb14733c1fd4f41" /></Relationships>
</file>