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bb726879194360" /></Relationships>
</file>

<file path=word/document.xml><?xml version="1.0" encoding="utf-8"?>
<w:document xmlns:w="http://schemas.openxmlformats.org/wordprocessingml/2006/main">
  <w:body>
    <w:p>
      <w:pPr>
        <w:pStyle w:val="kar_citation"/>
      </w:pPr>
      <w:r>
        <w:t>502 KAR 35:050.</w:t>
      </w:r>
      <w:r>
        <w:t xml:space="preserve"> </w:t>
      </w:r>
      <w:r>
        <w:t xml:space="preserve">Statistical analysis of information related to missing children.</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17.080 provides that the Secretary of Justice and Public Safety Cabinet may adopt such rules and administrative regulations as necessary to properly administer the cabinet. KRS 17.450 provides that the Secretary may  further issue administrative regulations which will provide for the functioning of the Kentucky Missing Child Information Center. KRS 17.450 requires that the Kentucky Missing Child Information Center annually report statistical information regarding  the numbers of children missing from or believed missing in the Commonwealth of Kentucky. This administrative regulation establishes rules and administrative regulations regarding  the furnishing of the  statistical data.</w:t>
      </w:r>
    </w:p>
    <w:p>
      <w:pPr>
        <w:pStyle w:val="kar_section"/>
      </w:pPr>
      <w:r>
        <w:t xml:space="preserve">Section 1.</w:t>
      </w:r>
      <w:r>
        <w:t xml:space="preserve"> </w:t>
      </w:r>
      <w:r>
        <w:t xml:space="preserve">Annual Report Required. On or before July 1 of each year, a written report shall be provided to the Secretary that will include statistical information regarding missing children in the Commonwealth of Kentucky.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Law Enforcement Agency Assistance Required. The Kentucky Missing Child Information Center may require additional assistance from all law enforcement agencies regarding  the development of the statistical data report as outlined in Section 1 of this administrative regulation. The  assistance shall include  but not be limited to in-depth case analysis with regard to a specific missing child incident, overall trends within a given geographical or jurisdictional area, and an in-depth missing child recovery trend analysis a well as the agency's methodology for finding and returning missing children.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4456e252a94fdd" /><Relationship Type="http://schemas.openxmlformats.org/officeDocument/2006/relationships/settings" Target="/word/settings.xml" Id="Rad7b2df86fe64c82" /></Relationships>
</file>