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8b289162b455c"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normal"/>
      </w:pPr>
      <w:r>
        <w:t xml:space="preserve"/>
      </w:r>
    </w:p>
    <w:p>
      <w:pPr>
        <w:pStyle w:val="kar_approved_by"/>
      </w:pPr>
      <w:r>
        <w:t xml:space="preserve">APPROVED BY AGENCY: October 13, 2021</w:t>
      </w:r>
    </w:p>
    <w:p>
      <w:pPr>
        <w:pStyle w:val="kar_filed"/>
      </w:pPr>
      <w:r>
        <w:t xml:space="preserve">FILED WITH LRC: October 15, 2021 at 11:53 a.m.</w:t>
      </w:r>
    </w:p>
    <w:p>
      <w:pPr>
        <w:pStyle w:val="kar_normal"/>
      </w:pPr>
      <w:r>
        <w:t xml:space="preserve"/>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00ea657b4b4e5f" /><Relationship Type="http://schemas.openxmlformats.org/officeDocument/2006/relationships/settings" Target="/word/settings.xml" Id="Rba8ed381e77f47dc" /></Relationships>
</file>