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4c25464df14fec"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Office of Unemployment Insurance</w:t>
      </w:r>
    </w:p>
    <w:p>
      <w:pPr>
        <w:pStyle w:val="kar_markup_header"/>
        <w:ind w:firstLine="0"/>
      </w:pPr>
      <w:r>
        <w:t>(Amendment)</w:t>
      </w:r>
    </w:p>
    <w:p>
      <w:pPr>
        <w:pStyle w:val="kar_citation"/>
      </w:pPr>
      <w:r>
        <w:t>787 KAR 1:290.</w:t>
      </w:r>
      <w:r>
        <w:t xml:space="preserve"> </w:t>
      </w:r>
      <w:r>
        <w:t xml:space="preserve">Contract construction rates.</w:t>
      </w:r>
    </w:p>
    <w:p>
      <w:pPr>
        <w:pStyle w:val="kar_markup_metadata"/>
      </w:pPr>
      <w:r>
        <w:t xml:space="preserve">RELATES TO: </w:t>
      </w:r>
      <w:r>
        <w:t xml:space="preserve">KRS 341.070, 341.272</w:t>
      </w:r>
    </w:p>
    <w:p>
      <w:pPr>
        <w:pStyle w:val="kar_markup_metadata"/>
      </w:pPr>
      <w:r>
        <w:t xml:space="preserve">STATUTORY AUTHORITY: </w:t>
      </w:r>
      <w:r>
        <w:t xml:space="preserve">KRS </w:t>
      </w:r>
      <w:r>
        <w:rPr>
          <w:u w:val="single"/>
        </w:rPr>
        <w:t xml:space="preserve">336.015, 336.050, </w:t>
      </w:r>
      <w:r>
        <w:t xml:space="preserve">341.115</w:t>
      </w:r>
      <w:r>
        <w:rPr>
          <w:u w:val="single"/>
        </w:rPr>
        <w:t xml:space="preserve">, 2021 Ky Acts ch. 169 § 1(I)(7)</w:t>
      </w:r>
    </w:p>
    <w:p>
      <w:pPr>
        <w:pStyle w:val="kar_markup_metadata"/>
      </w:pPr>
      <w:r>
        <w:t xml:space="preserve">NECESSITY, FUNCTION, AND CONFORMITY: </w:t>
      </w:r>
      <w:r>
        <w:t xml:space="preserve">KRS 341.272(1) requires entities engaged in the contract construction trades to pay contributions equal to the maximum rate of contributions under KRS 341.270. KRS 341.115(1) authorizes the secretary to promulgate administrative regulations to implement KRS Chapter 341. This administrative regulation establishes requirements for contract construction for the purposes of rate assignment under KRS 341.272.</w:t>
      </w:r>
    </w:p>
    <w:p>
      <w:pPr>
        <w:pStyle w:val="kar_section"/>
      </w:pPr>
      <w:r>
        <w:t xml:space="preserve">Section 1.</w:t>
      </w:r>
      <w:r>
        <w:t xml:space="preserve"> </w:t>
      </w:r>
      <w:r>
        <w:t xml:space="preserve">For the purpose of rate assignment, a service shall be considered as contract construction if the service is listed in the </w:t>
      </w:r>
      <w:r>
        <w:rPr>
          <w:u w:val="single"/>
        </w:rPr>
        <w:t xml:space="preserve">United States North American Industry Classification System Manual, Part I Sector 23 subsections 236, 237 and 238, 2017 </w:t>
      </w:r>
      <w:r>
        <w:t>[</w:t>
      </w:r>
      <w:r>
        <w:rPr>
          <w:strike w:val="true"/>
        </w:rPr>
        <w:t xml:space="preserve">United States North American Industry Classification System Manual, 2012, under Major Section 23, Subsections 236, 237, and 238</w:t>
      </w:r>
      <w:r>
        <w:t>]</w:t>
      </w:r>
      <w:r>
        <w:t xml:space="preserve">.</w:t>
      </w:r>
    </w:p>
    <w:p>
      <w:pPr>
        <w:pStyle w:val="kar_section"/>
      </w:pPr>
      <w:r>
        <w:t xml:space="preserve">Section 2.</w:t>
      </w:r>
      <w:r>
        <w:t xml:space="preserve"> </w:t>
      </w:r>
      <w:r>
        <w:t xml:space="preserve">To be considered a contract construction employer, one-half (1/2) or more of the service upon which liability is established under KRS 341.070 shall be in contract construction.</w:t>
      </w:r>
    </w:p>
    <w:p>
      <w:pPr>
        <w:pStyle w:val="kar_section"/>
      </w:pPr>
      <w:r>
        <w:t xml:space="preserve">Section 3.</w:t>
      </w:r>
      <w:r>
        <w:t xml:space="preserve"> </w:t>
      </w:r>
      <w:r>
        <w:t xml:space="preserve">Incorporation by Reference.</w:t>
      </w:r>
    </w:p>
    <w:p>
      <w:pPr>
        <w:pStyle w:val="kar_subsection"/>
      </w:pPr>
      <w:r>
        <w:t xml:space="preserve">(1)</w:t>
      </w:r>
      <w:r>
        <w:t xml:space="preserve"> </w:t>
      </w:r>
      <w:r>
        <w:rPr>
          <w:u w:val="single"/>
        </w:rPr>
        <w:t xml:space="preserve">"United States North American Industry Classification System Manual", Part 1 Sector 23 subsections 236, 237 and 238, 2017</w:t>
      </w:r>
      <w:r>
        <w:t>[</w:t>
      </w:r>
      <w:r>
        <w:rPr>
          <w:strike w:val="true"/>
        </w:rPr>
        <w:t xml:space="preserve">"United States North American Industry Classification System Manual", 2012, Major Section 23, Subsections 236, 237 and 238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w:t>
      </w:r>
      <w:r>
        <w:rPr>
          <w:u w:val="single"/>
        </w:rPr>
        <w:t xml:space="preserve">Labor</w:t>
      </w:r>
      <w:r>
        <w:t>[</w:t>
      </w:r>
      <w:r>
        <w:rPr>
          <w:strike w:val="true"/>
        </w:rPr>
        <w:t xml:space="preserve">Education and Workforce Development</w:t>
      </w:r>
      <w:r>
        <w:t>]</w:t>
      </w:r>
      <w:r>
        <w:t xml:space="preserve"> Cabinet, </w:t>
      </w:r>
      <w:r>
        <w:rPr>
          <w:u w:val="single"/>
        </w:rPr>
        <w:t xml:space="preserve">Tax Enforcement Branch</w:t>
      </w:r>
      <w:r>
        <w:t>[</w:t>
      </w:r>
      <w:r>
        <w:rPr>
          <w:strike w:val="true"/>
        </w:rPr>
        <w:t xml:space="preserve">Tax Status and Accounting Branch</w:t>
      </w:r>
      <w:r>
        <w:t>]</w:t>
      </w:r>
      <w:r>
        <w:t xml:space="preserve">, </w:t>
      </w:r>
      <w:r>
        <w:rPr>
          <w:u w:val="single"/>
        </w:rPr>
        <w:t xml:space="preserve">Mayo-Underwood Building, 500 Mero Street, Frankfort, KY 40601</w:t>
      </w:r>
      <w:r>
        <w:t>[</w:t>
      </w:r>
      <w:r>
        <w:rPr>
          <w:strike w:val="true"/>
        </w:rPr>
        <w:t xml:space="preserve">275 East Main Street, Frankfort, Kentucky 40621</w:t>
      </w:r>
      <w:r>
        <w:t>]</w:t>
      </w:r>
      <w:r>
        <w:t xml:space="preserve">, Monday through Friday, 8 a.m. to 4:30 p.m.</w:t>
      </w:r>
    </w:p>
    <w:p>
      <w:pPr>
        <w:pStyle w:val="kar_signature"/>
      </w:pPr>
      <w:r>
        <w:t xml:space="preserve">BUDDY HOSKINSON, Executive Director</w:t>
      </w:r>
    </w:p>
    <w:p>
      <w:pPr>
        <w:pStyle w:val="kar_signature"/>
      </w:pPr>
      <w:r>
        <w:t xml:space="preserve">LARRY L. ROBERTS, Secretary</w:t>
      </w:r>
    </w:p>
    <w:p>
      <w:pPr>
        <w:pStyle w:val="kar_normal"/>
      </w:pPr>
      <w:r>
        <w:t xml:space="preserve"/>
      </w:r>
    </w:p>
    <w:p>
      <w:pPr>
        <w:pStyle w:val="kar_approved_by"/>
      </w:pPr>
      <w:r>
        <w:t xml:space="preserve">APPROVED BY AGENCY: June 21, 2021</w:t>
      </w:r>
    </w:p>
    <w:p>
      <w:pPr>
        <w:pStyle w:val="kar_filed"/>
      </w:pPr>
      <w:r>
        <w:t xml:space="preserve">FILED WITH LRC: June 21, 2021 at 1:49 p.m.</w:t>
      </w:r>
    </w:p>
    <w:p>
      <w:pPr>
        <w:pStyle w:val="kar_normal"/>
      </w:pPr>
      <w:r>
        <w:t xml:space="preserve"/>
      </w:r>
    </w:p>
    <w:p>
      <w:pPr>
        <w:pStyle w:val="kar_comment_period"/>
      </w:pPr>
      <w:r>
        <w:t xml:space="preserve">PUBLIC HEARING AND PUBLIC COMMENT PERIOD: A public hearing on this administrative regulation shall be held on September 27, 2021 at 2:00 (ET). This hearing will be conducted by live videoconference (ZOOM) pursuant to Senate Bill 150, Section 1, subparagraph 8(b) (R.S. 2020) and the continuing state of emergency due to the novel coronavirus pandemic.  Public access to the meeting will be available at  https://us02web.zoom.us/j/88991458931?pwd=eTZYMEo0V3Qydnk0alB3MFFyYmZVUT09, password 358248 or by telephone at 713-353-0212 or 888-822-7517 (toll free), conference code 278497.</w:t>
      </w:r>
    </w:p>
    <w:p>
      <w:pPr>
        <w:pStyle w:val="kar_contact_person"/>
      </w:pPr>
      <w:r>
        <w:t xml:space="preserve">CONTACT PERSON: Buddy Hoskinson, Labor Cabinet, Mayo-Underwood Building, 500 Mero Street, 4th Floor, Frankfort, Kentucky 40601, phone (502) 564-2199, fax (502) 564-7850, email: Buddy.Hoskinson@ky.gov.</w:t>
      </w:r>
    </w:p>
    <w:p>
      <w:pPr>
        <w:pStyle w:val="kar_form_name"/>
      </w:pPr>
      <w:r>
        <w:t xml:space="preserve">REGULATORY IMPACT ANALYSIS AND TIERING STATEMENT</w:t>
      </w:r>
    </w:p>
    <w:p>
      <w:pPr>
        <w:pStyle w:val="kar_normal"/>
        <w:ind w:left="0"/>
      </w:pPr>
      <w:r>
        <w:t xml:space="preserve">Contact Person:</w:t>
      </w:r>
      <w:r>
        <w:t xml:space="preserve"> Buddy Hoskinson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 that entities engaged in contract construction trades pay contributions equal to the maximum rate of contributions under KRS 341.270. The regulation further sets forth the method by which an entity is determined to be engaged in the contract construction trade.</w:t>
      </w:r>
    </w:p>
    <w:p>
      <w:pPr>
        <w:pStyle w:val="kar_normal"/>
        <w:ind w:left="576"/>
      </w:pPr>
      <w:r>
        <w:t xml:space="preserve">(b) The necessity of this administrative regulation:</w:t>
      </w:r>
    </w:p>
    <w:p>
      <w:pPr>
        <w:pStyle w:val="kar_normal"/>
        <w:ind w:left="720"/>
      </w:pPr>
      <w:r>
        <w:t xml:space="preserve">This administrative regulation uses the NAICS Manual to determine whether service is considered a “contract construction trade.” The 2012 NAICS Manual has been incorporated by reference into the regulation. In order to receive federal funds to administrate portions of its research and statistics programs, the state must use the NAICS manual for assigning classifications.</w:t>
      </w:r>
    </w:p>
    <w:p>
      <w:pPr>
        <w:pStyle w:val="kar_normal"/>
        <w:ind w:left="576"/>
      </w:pPr>
      <w:r>
        <w:t xml:space="preserve">(c) How this administrative regulation conforms to the content of the authorizing statutes:</w:t>
      </w:r>
    </w:p>
    <w:p>
      <w:pPr>
        <w:pStyle w:val="kar_normal"/>
        <w:ind w:left="720"/>
      </w:pPr>
      <w:r>
        <w:t xml:space="preserve">KRS 341.115(1) authorizes the secretary to adopt administrative regulations deemed necessary or suitable for the proper administration of KRS Chapter 341.This administrative regulation establishes requirements pursuant to KRS 341.272.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method for determining entities engaged on contract construction. The regulation identifies the entities that will be required to pay contribution rates for contract construction trades as required by statute. (2) If this is an amendment to an existing regulation, provide a brief summary of: (a) How this amendment will change this existing administrative regulation: This amendment updates the material incorporated by reference, the current name and address of the office and branches within the office. Further, this amendment updates the statutory authority to reflect the office is now within the Labor Cabinet pursuant to 2021 Ky Acts ch. 169 Part 1(I)(7).</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accurately reflect updated statutory authority, office address and to update the material incorporated by reference.</w:t>
      </w:r>
    </w:p>
    <w:p>
      <w:pPr>
        <w:pStyle w:val="kar_normal"/>
        <w:ind w:left="576"/>
      </w:pPr>
      <w:r>
        <w:t xml:space="preserve">(c) How the amendment conforms to the content of the authorizing statutes:</w:t>
      </w:r>
    </w:p>
    <w:p>
      <w:pPr>
        <w:pStyle w:val="kar_normal"/>
        <w:ind w:left="720"/>
      </w:pPr>
      <w:r>
        <w:t xml:space="preserve">KRS 341.115(1) authorizes the secretary to amend administrative regulations deemed necessary or suitable for the proper administration of KRS Chapter 341.This administrative regulation establishes requirements pursuant to KRS 341.272.</w:t>
      </w:r>
    </w:p>
    <w:p>
      <w:pPr>
        <w:pStyle w:val="kar_normal"/>
        <w:ind w:left="576"/>
      </w:pPr>
      <w:r>
        <w:t xml:space="preserve">(d) How the amendment will assist in the effective administration of the statutes:</w:t>
      </w:r>
    </w:p>
    <w:p>
      <w:pPr>
        <w:pStyle w:val="kar_normal"/>
        <w:ind w:left="720"/>
      </w:pPr>
      <w:r>
        <w:t xml:space="preserve">This amendment will ensure that entities are classified correctly for purposes of rate assignment pursuant to KRS 341.270.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Entities engaged in contract construction trades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If an entity is classified as a contract construction trade, its contribution rate will be set by KRS 341.270. The entity will be required to pay it contributions at that rate.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will be the amount of the contributions based on the maximum contribution rate.</w:t>
      </w:r>
    </w:p>
    <w:p>
      <w:pPr>
        <w:pStyle w:val="kar_normal"/>
        <w:ind w:left="576"/>
      </w:pPr>
      <w:r>
        <w:t xml:space="preserve">(c) As a result of compliance, what benefits will accrue to the entities identified in question (3):</w:t>
      </w:r>
    </w:p>
    <w:p>
      <w:pPr>
        <w:pStyle w:val="kar_normal"/>
        <w:ind w:left="720"/>
      </w:pPr>
      <w:r>
        <w:t xml:space="preserve">The contributions will be included in the entity’s unemployment insurance reserve account for use in paying unemployment insurance claims charged against the entity.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as amended, is not anticipated to generate any new or additional costs.</w:t>
      </w:r>
    </w:p>
    <w:p>
      <w:pPr>
        <w:pStyle w:val="kar_normal"/>
        <w:ind w:left="576"/>
      </w:pPr>
      <w:r>
        <w:t xml:space="preserve">(b) On a continuing basis:</w:t>
      </w:r>
    </w:p>
    <w:p>
      <w:pPr>
        <w:pStyle w:val="kar_normal"/>
        <w:ind w:left="720"/>
      </w:pPr>
      <w:r>
        <w:t xml:space="preserve">This administrative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KRS 341.240 establishes the unemployment compensation administration fund, the funds in which are available to the secretary for administration of the UI program and are deposited to defray the cost of the administration of this chapter. (7) Provide an assessment of whether an increase in fees or funding will be necessary to implement this administrative regulation, if new or by the change if it is an amendment: This administrative regulation, as amended, is not anticipated to generate any increase in fees or funding. (8) State whether or not this administrative regulation establishes any fees or directly or indirectly increases any fees: There are no fees associated with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taxpayers identified by this administrative regulation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(a) How much revenue will the administrative regulation generate for the state or local government (including cities, counties, fire departments, or school districts) for the first year? This administrative regulation will not generate revenue. (b) How much revenue will the administrative regulation generate for the state or local government (including cities, counties, fire departments, or school districts) for subsequent years? This administrative regulation will not generate revenue.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576"/>
      </w:pPr>
      <w:r>
        <w:t xml:space="preserve">(c) How much will it cost to administer this program for the first year?</w:t>
      </w:r>
    </w:p>
    <w:p>
      <w:pPr>
        <w:pStyle w:val="kar_normal"/>
        <w:ind w:left="720"/>
      </w:pPr>
      <w:r>
        <w:t xml:space="preserve">There is no cost to this amendment.</w:t>
      </w:r>
    </w:p>
    <w:p>
      <w:pPr>
        <w:pStyle w:val="kar_normal"/>
        <w:ind w:left="576"/>
      </w:pPr>
      <w:r>
        <w:t xml:space="preserve">(d) How much will it cost to administer this program for subsequent years?</w:t>
      </w:r>
    </w:p>
    <w:p>
      <w:pPr>
        <w:pStyle w:val="kar_normal"/>
        <w:ind w:left="720"/>
      </w:pPr>
      <w:r>
        <w:t xml:space="preserve">There is no cost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b469609ae2406c" /><Relationship Type="http://schemas.openxmlformats.org/officeDocument/2006/relationships/settings" Target="/word/settings.xml" Id="Rc25238b29665432d" /></Relationships>
</file>