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2b08dd9133431c"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NECESSITY, FUNCTION, AND CONFORMITY: </w:t>
      </w:r>
      <w:r>
        <w:t xml:space="preserve">KRS 186.021(3) authorizes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defined by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provide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the policy is a personal lines motor vehicle policy and has been reported as an insured personal motor vehicle,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the policy is not a personal lines motor vehicle policy and has not been reported as an insured personal motor vehicle,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shall appear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Each month,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reference:"Kentucky Automobile Liability Insurance Reporting Guide", Transportation Cabinet, Department of Vehicle Regulation, Version 1.6, 8/15/2005 </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The material may also be obtained at the Department of Insurance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685; Am. 975; eff. 11-13-1984; 1661; 12 Ky.R. 19; 125; eff. 7-9-01985; 14 Ky.R. 2063; 15 Ky.R. 15; eff. 7-1-1988; 24 Ky.R. 764; 1264; eff. 12-15-1997; 32 Ky.R. 362; 695; 888; eff. 12-2-2005; 40 Ky.R. 1141; 1723; 2132; eff. 4-4-2014; 48 Ky.R. 607, 1761;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8e8e10ff54e05" /><Relationship Type="http://schemas.openxmlformats.org/officeDocument/2006/relationships/settings" Target="/word/settings.xml" Id="R661a19e1abf145b6" /></Relationships>
</file>