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7ccac521de4ec9" /></Relationships>
</file>

<file path=word/document.xml><?xml version="1.0" encoding="utf-8"?>
<w:document xmlns:w="http://schemas.openxmlformats.org/wordprocessingml/2006/main">
  <w:body>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620.142(5)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"Kentucky Transitional Assistance Program" or "KTAP"  means Kentucky's Temporary Assistance for Needy Families (TANF) money payment program for a child who is deprived of parental support or care, as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"Relative" means an individual related to a child by blood, marriage, or adoption.</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3(12),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foster or adoptive parent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relative or fictive kin placement support benefit:</w:t>
      </w:r>
    </w:p>
    <w:p>
      <w:pPr>
        <w:pStyle w:val="kar_paragraph"/>
      </w:pPr>
      <w:r>
        <w:t xml:space="preserve">(a)</w:t>
      </w:r>
      <w:r>
        <w:t xml:space="preserve"> </w:t>
      </w:r>
      <w:r>
        <w:t xml:space="preserve">To facilitate the cabinet's placement of a child with a nonparental relative or fictive kin ;</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 or</w:t>
      </w:r>
    </w:p>
    <w:p>
      <w:pPr>
        <w:pStyle w:val="kar_paragraph"/>
      </w:pPr>
      <w:r>
        <w:t xml:space="preserve">(e)</w:t>
      </w:r>
      <w:r>
        <w:t xml:space="preserve"> </w:t>
      </w:r>
      <w:r>
        <w:t xml:space="preserve">Guardianship in accordance with KRS Chapter 387.</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guardianship under 42 U.S.C. 671 and 673 once the benefit is available;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effective October 1, 2019,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2284, 2942, 3187; eff. 5-31-2019; 46 Ky.R. 773, 1174; eff. 11-1-2019; 48 Ky.R. 1426;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8bed3e7d56402d" /><Relationship Type="http://schemas.openxmlformats.org/officeDocument/2006/relationships/settings" Target="/word/settings.xml" Id="Ra7a07f0b771b4ef8" /></Relationships>
</file>