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b092c2b86c840b3" /></Relationships>
</file>

<file path=word/document.xml><?xml version="1.0" encoding="utf-8"?>
<w:document xmlns:w="http://schemas.openxmlformats.org/wordprocessingml/2006/main">
  <w:body>
    <w:p>
      <w:pPr>
        <w:pStyle w:val="kar_citation"/>
      </w:pPr>
      <w:r>
        <w:t>900 KAR 10:201.</w:t>
      </w:r>
      <w:r>
        <w:t xml:space="preserve"> </w:t>
      </w:r>
      <w:r>
        <w:t xml:space="preserve">Repeal of 900 KAR 10:200.</w:t>
      </w:r>
    </w:p>
    <w:p>
      <w:pPr>
        <w:pStyle w:val="kar_markup_metadata"/>
      </w:pPr>
      <w:r>
        <w:t xml:space="preserve">RELATES TO: </w:t>
      </w:r>
      <w:r>
        <w:t xml:space="preserve">KRS 194A.050(1), 45 C.F.R. Parts 155, 156, 42 U.S.C. 18022, 18031, 18042, 18054</w:t>
      </w:r>
    </w:p>
    <w:p>
      <w:pPr>
        <w:pStyle w:val="kar_markup_metadata"/>
      </w:pPr>
      <w:r>
        <w:t xml:space="preserve">STATUTORY AUTHORITY: </w:t>
      </w:r>
      <w:r>
        <w:t xml:space="preserve">KRS 194A.050(1)</w:t>
      </w:r>
    </w:p>
    <w:p>
      <w:pPr>
        <w:pStyle w:val="kar_markup_metadata"/>
      </w:pPr>
      <w:r>
        <w:t xml:space="preserve">NECESSITY, FUNCTION, AND CONFORMITY: </w:t>
      </w:r>
      <w:r>
        <w:t xml:space="preserve">The Cabinet for Health and Family Services, Office of Health Data and Analytics, Division of Health Benefit Exchange has responsibility to administer the Kentucky Health Benefit Exchange. KRS 194A.050(1) requires the secretary of the cabinet to promulgate administrative regulations necessary to protect, develop, and maintain the health, personal dignity, integrity, and sufficiency of the individual citizens of the commonwealth; to operate the programs and fulfill the responsibilities vested in the cabinet; and to implement programs mandated by federal law. This administrative regulation repeals 900 KAR 10:200 as this regulation is no longer necessary because the cabinet is implementing a state-based exchange, pursuant to and in accordance with 42 U.S.C. 18031 and 45 C.F.R. Parts 155 and 156.</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1.</w:t>
      </w:r>
      <w:r>
        <w:t xml:space="preserve"> </w:t>
      </w:r>
      <w:r>
        <w:t xml:space="preserve">900 KAR 10:200, Kentucky State Based Exchange on the Federal Platform is hereby repealed.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fe57a7efa094f36" /><Relationship Type="http://schemas.openxmlformats.org/officeDocument/2006/relationships/settings" Target="/word/settings.xml" Id="R5940f7316f3d4627" /></Relationships>
</file>