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f4b21a65f44caf" /></Relationships>
</file>

<file path=word/document.xml><?xml version="1.0" encoding="utf-8"?>
<w:document xmlns:w="http://schemas.openxmlformats.org/wordprocessingml/2006/main">
  <w:body>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194A.540(11), 314.011(5), 314.021, 314.041(1)(a), 314.111(1), 314.131(1), (2),  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"Distance learning" means didactic instruction offered by any means where the student and faculty are in separate physical locations.</w:t>
      </w:r>
    </w:p>
    <w:p>
      <w:pPr>
        <w:pStyle w:val="kar_subsection"/>
      </w:pPr>
      <w:r>
        <w:t xml:space="preserve">(3)</w:t>
      </w:r>
      <w:r>
        <w:t xml:space="preserve"> </w:t>
      </w:r>
      <w:r>
        <w:t xml:space="preserve">"External examination" means  a standardized or norm-referenced examination that is designed to compare and rank test takers in relation to one another and is not produced by the program of nursing.</w:t>
      </w:r>
    </w:p>
    <w:p>
      <w:pPr>
        <w:pStyle w:val="kar_subsection"/>
      </w:pPr>
      <w:r>
        <w:t xml:space="preserve">(4)</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t xml:space="preserve">(5)</w:t>
      </w:r>
      <w:r>
        <w:t xml:space="preserve"> </w:t>
      </w:r>
      <w:r>
        <w:t xml:space="preserve">"Program of nursing" means the educational unit that prepares a person for licensure as a registered or licensed practical nurse.</w:t>
      </w:r>
    </w:p>
    <w:p>
      <w:pPr>
        <w:pStyle w:val="kar_subsection"/>
      </w:pPr>
      <w:r>
        <w:t xml:space="preserve">(6)</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t xml:space="preserve">(7)</w:t>
      </w:r>
      <w:r>
        <w:t xml:space="preserve"> </w:t>
      </w:r>
      <w:r>
        <w:t xml:space="preserve">"Remediation" means the process by which a student improves or corrects a knowledge deficit through external examinations, other assignments, or activities.</w:t>
      </w:r>
    </w:p>
    <w:p>
      <w:pPr>
        <w:pStyle w:val="kar_subsection"/>
      </w:pPr>
      <w:r>
        <w:t xml:space="preserve">(8)</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201 KAR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 External examinations may be used to assist in the remediation of a student or as a part of the final course grade. </w:t>
      </w:r>
    </w:p>
    <w:p>
      <w:pPr>
        <w:pStyle w:val="kar_subsection"/>
      </w:pPr>
      <w:r>
        <w:t xml:space="preserve">(2)</w:t>
      </w:r>
      <w:r>
        <w:t xml:space="preserve"> </w:t>
      </w:r>
      <w:r>
        <w:t xml:space="preserve"> A program of nursing shall not use an external examination as the sole basis to determine a student's progression or graduation.</w:t>
      </w:r>
    </w:p>
    <w:p>
      <w:pPr>
        <w:pStyle w:val="kar_subsection"/>
      </w:pPr>
      <w:r>
        <w:t xml:space="preserve">(3)</w:t>
      </w:r>
      <w:r>
        <w:t xml:space="preserve"> </w:t>
      </w:r>
      <w: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 xml:space="preserve">(4)</w:t>
      </w:r>
      <w:r>
        <w:t xml:space="preserve"> </w:t>
      </w:r>
      <w:r>
        <w:t xml:space="preserve"> A program of nursing that utilizes external examinations as  a component of  student remediation shall ensure that completion of remediation occurs within the same semester or quarter.</w:t>
      </w:r>
    </w:p>
    <w:p>
      <w:pPr>
        <w:pStyle w:val="kar_subsection"/>
      </w:pPr>
      <w:r>
        <w:t xml:space="preserve">(5)</w:t>
      </w:r>
      <w:r>
        <w:t xml:space="preserve"> </w:t>
      </w:r>
      <w:r>
        <w:t xml:space="preserve"> The academic progression policy of the program of nursing and course syllabi shall clearly outline the role of  an external examination, including the frequency of and schedule for the testing, and the weight to be applied to results when calculating the final course grade. A course syllabus that references an external examination shall include information needed to calculate the impact of test results in any given external examination on the final course grade. If a course syllabus requires a specific average test score on all exams as a condition for passing the course, student results on external exams shall be excluded from that calculation.</w:t>
      </w:r>
    </w:p>
    <w:p>
      <w:pPr>
        <w:pStyle w:val="kar_subsection"/>
      </w:pPr>
      <w:r>
        <w:t xml:space="preserve">(6)</w:t>
      </w:r>
      <w:r>
        <w:t xml:space="preserve"> </w:t>
      </w:r>
      <w:r>
        <w:t xml:space="preserve">  A program of nursing shall not require students who have completed all requirements for graduation to earn a specific score or benchmark on an external examination as a condition for graduation or for placing the student's name on the Certified List of Kentucky Program of Nursing Graduates pursuant to 201 KAR 20:070.</w:t>
      </w:r>
    </w:p>
    <w:p>
      <w:pPr>
        <w:pStyle w:val="kar_section"/>
      </w:pPr>
      <w:r>
        <w:t xml:space="preserve">Section 5.</w:t>
      </w:r>
      <w:r>
        <w:t xml:space="preserve"> </w:t>
      </w:r>
      <w:r>
        <w:t xml:space="preserve">Curriculum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w:t>
      </w:r>
    </w:p>
    <w:p>
      <w:pPr>
        <w:pStyle w:val="kar_paragraph"/>
      </w:pPr>
      <w:r>
        <w:t xml:space="preserve">(a)</w:t>
      </w:r>
      <w:r>
        <w:t xml:space="preserve"> </w:t>
      </w:r>
      <w:r>
        <w:t xml:space="preserve">Pediatric abusive head trauma as it is defined in KRS 620.020(8);</w:t>
      </w:r>
    </w:p>
    <w:p>
      <w:pPr>
        <w:pStyle w:val="kar_paragraph"/>
      </w:pPr>
      <w:r>
        <w:t xml:space="preserve">(b)</w:t>
      </w:r>
      <w:r>
        <w:t xml:space="preserve"> </w:t>
      </w:r>
      <w:r>
        <w:t xml:space="preserve">Suicide prevention and wellness topics listed in subsection (3) of this section by August 15, 2022; and</w:t>
      </w:r>
    </w:p>
    <w:p>
      <w:pPr>
        <w:pStyle w:val="kar_paragraph"/>
      </w:pPr>
      <w:r>
        <w:t xml:space="preserve">(c)</w:t>
      </w:r>
      <w:r>
        <w:t xml:space="preserve"> </w:t>
      </w:r>
      <w:r>
        <w:t xml:space="preserve">Implicit bias topics listed in subsection (4) of this section by August 15, 2022.</w:t>
      </w:r>
    </w:p>
    <w:p>
      <w:pPr>
        <w:pStyle w:val="kar_subsection"/>
      </w:pPr>
      <w:r>
        <w:t xml:space="preserve">(3)</w:t>
      </w:r>
      <w:r>
        <w:t xml:space="preserve"> </w:t>
      </w:r>
      <w:r>
        <w:t xml:space="preserve">Suicide prevention and wellness topics shall include:</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pPr>
      <w:r>
        <w:t xml:space="preserve">(d)</w:t>
      </w:r>
      <w:r>
        <w:t xml:space="preserve"> </w:t>
      </w:r>
      <w:r>
        <w:t xml:space="preserve">Ethical legal considerations of caring for patients and nurses who are suicidal.</w:t>
      </w:r>
    </w:p>
    <w:p>
      <w:pPr>
        <w:pStyle w:val="kar_subsection"/>
      </w:pPr>
      <w:r>
        <w:t xml:space="preserve">(4)</w:t>
      </w:r>
      <w:r>
        <w:t xml:space="preserve"> </w:t>
      </w:r>
      <w:r>
        <w:t xml:space="preserve">Implicit bias topics shall include:</w:t>
      </w:r>
    </w:p>
    <w:p>
      <w:pPr>
        <w:pStyle w:val="kar_paragraph"/>
      </w:pPr>
      <w:r>
        <w:t xml:space="preserve">(a)</w:t>
      </w:r>
      <w:r>
        <w:t xml:space="preserve"> </w:t>
      </w:r>
      <w:r>
        <w:t xml:space="preserve">The impact of historical racism and other forms of invidious discrimination on the provisions of healthcare;</w:t>
      </w:r>
    </w:p>
    <w:p>
      <w:pPr>
        <w:pStyle w:val="kar_paragraph"/>
      </w:pPr>
      <w:r>
        <w:t xml:space="preserve">(b)</w:t>
      </w:r>
      <w:r>
        <w:t xml:space="preserve"> </w:t>
      </w:r>
      <w:r>
        <w:t xml:space="preserve">Methods of evaluation the presence and extent of implicit bias; and</w:t>
      </w:r>
    </w:p>
    <w:p>
      <w:pPr>
        <w:pStyle w:val="kar_paragraph"/>
      </w:pPr>
      <w:r>
        <w:t xml:space="preserve">(c)</w:t>
      </w:r>
      <w:r>
        <w:t xml:space="preserve"> </w:t>
      </w:r>
      <w:r>
        <w:t xml:space="preserve">Measures that may be taken to reduce implicit bias.</w:t>
      </w:r>
    </w:p>
    <w:p>
      <w:pPr>
        <w:pStyle w:val="kar_history"/>
        <w:sectPr>
          <w:pgSz w:w="12240" w:h="15840" w:orient="portrait" w:code="1"/>
          <w:pgMar w:top="1080" w:right="1080" w:bottom="1080" w:left="1080" w:header="720" w:footer="720" w:gutter="0"/>
          <w:paperSrc w:first="263" w:other="263"/>
          <w:noEndnote/>
          <w:docGrid w:linePitch="218"/>
        </w:sectPr>
      </w:pPr>
      <w:r>
        <w:t xml:space="preserve"> (11 Ky.R. 1705; eff. 6-4-1985; 14 Ky.R. 593; eff. 11-6-1987; 30 Ky.R. 77; 578; eff. 8-20-2003; 34 Ky.R. 347; 713; eff. 10-17-2007; 40 Ky.R. 1347; 1722; eff. 2-19-2014; 42 Ky.R. 2425, 2583, 2723; eff. 6-3-2016; 45 Ky.R. 1759, 2593; eff. 3-13-2019; 46 Ky.R. 2989, 2691; 47 Ky.R. 769; eff. 2-4-2021; 48 Ky.R. 537, 1773, 2031;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cde532aab94fae" /><Relationship Type="http://schemas.openxmlformats.org/officeDocument/2006/relationships/settings" Target="/word/settings.xml" Id="Rf2e63af77e5f4735" /></Relationships>
</file>