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59ada80b3b47ac" /></Relationships>
</file>

<file path=word/document.xml><?xml version="1.0" encoding="utf-8"?>
<w:document xmlns:w="http://schemas.openxmlformats.org/wordprocessingml/2006/main">
  <w:body>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314.073, 314.991(1)-(3), 620.020(8)</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 The nurse shall submit the Nursing Continuing Education Employment Evaluation Form, completed and signed by the nurse's supervisor or employer, which shall cover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Advanced practice registered nurses who do not have a Collaborative Agreement for Advanced Practice Registered Nurse's Prescriptive Authority for Controlled Substances (CAPA-CS) pursuant to KRS 314.042(10) or a waiver and registration issued by the United States Drug Enforcement Administration (DEA) to prescribe buprenorphine for the treatment of opioid use disorder shall earn a minimum of five (5) contact hours in pharmacology.</w:t>
      </w:r>
    </w:p>
    <w:p>
      <w:pPr>
        <w:pStyle w:val="kar_paragraph"/>
      </w:pPr>
      <w:r>
        <w:t xml:space="preserve">(b)</w:t>
      </w:r>
      <w:r>
        <w:t xml:space="preserve"> </w:t>
      </w:r>
      <w:r>
        <w:t xml:space="preserve">Advanced practice registered nurses with a Collaborative Agreement for Advanced Practice Registered Nurse's Prescriptive Authority for Controlled Substances (CAPA-CS) pursuant to KRS 314.042(10) who do not have a waiver and registration issued by the DEA to prescribe buprenorphine for the treatment of opioid use disorder shall earn a minimum of five (5) contact hours in pharmacology, including at least one and one-half (1.5) contact hours on the dual subjects of pharmacology and either pain management or addiction disorders.</w:t>
      </w:r>
    </w:p>
    <w:p>
      <w:pPr>
        <w:pStyle w:val="kar_paragraph"/>
      </w:pPr>
      <w:r>
        <w:t xml:space="preserve">(c)</w:t>
      </w:r>
      <w:r>
        <w:t xml:space="preserve"> </w:t>
      </w:r>
      <w:r>
        <w:t xml:space="preserve">Advanced practice registered nurses who have a waiver and registration issued by the DEA to prescribe buprenorphine for the treatment of opioid use disorder shall earn:</w:t>
      </w:r>
    </w:p>
    <w:p>
      <w:pPr>
        <w:pStyle w:val="kar_subparagraph"/>
      </w:pPr>
      <w:r>
        <w:t xml:space="preserve">1.</w:t>
      </w:r>
      <w:r>
        <w:t xml:space="preserve"> </w:t>
      </w:r>
      <w:r>
        <w:t xml:space="preserve">A minimum of five (5) contact hours annually in pharmacology, of which one and one-half (1.5) pharmacology hours shall be on the dual subjects of addiction disorders and pharmacology; and</w:t>
      </w:r>
    </w:p>
    <w:p>
      <w:pPr>
        <w:pStyle w:val="kar_subparagraph"/>
      </w:pPr>
      <w:r>
        <w:t xml:space="preserve">2.</w:t>
      </w:r>
      <w:r>
        <w:t xml:space="preserve"> </w:t>
      </w:r>
      <w:r>
        <w:t xml:space="preserve">An additional two and one-half (2.5) contact hours annually on addiction disorders.</w:t>
      </w:r>
    </w:p>
    <w:p>
      <w:pPr>
        <w:pStyle w:val="kar_paragraph"/>
      </w:pPr>
      <w:r>
        <w:t xml:space="preserve">(d)</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t xml:space="preserve">(e)</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Sexual assault nurse examiners shall earn the continuing education required by 201 KAR 20:411, Section 8.</w:t>
      </w:r>
    </w:p>
    <w:p>
      <w:pPr>
        <w:pStyle w:val="kar_subsection"/>
      </w:pPr>
      <w:r>
        <w:t xml:space="preserve">(3)</w:t>
      </w:r>
      <w:r>
        <w:t xml:space="preserve"> </w:t>
      </w:r>
      <w:r>
        <w:t xml:space="preserve">Registered nurses and licensed practical nurses shall earn, within three (3) years of licensure, a minimum of one and one-half (1.5) contact hours in pediatric abusive head trauma as required by KRS 314.073(6), and a minimum of three (3) contact hours on domestic violence, and elder abuse, neglect, and exploitation as required by KRS 194A.540.</w:t>
      </w:r>
    </w:p>
    <w:p>
      <w:pPr>
        <w:pStyle w:val="kar_subsection"/>
      </w:pPr>
      <w:r>
        <w:t xml:space="preserve">(4)</w:t>
      </w:r>
      <w:r>
        <w:t xml:space="preserve"> </w:t>
      </w:r>
      <w:r>
        <w:t xml:space="preserve">Registered nurses, licensed practical nurses, and advanced practice registered nurses who hold an active nursing license on July 1, 2022, shall satisfy the continuing competency requirement in subsection (6) of this section on or before July 1, 2023.</w:t>
      </w:r>
    </w:p>
    <w:p>
      <w:pPr>
        <w:pStyle w:val="kar_subsection"/>
      </w:pPr>
      <w:r>
        <w:t xml:space="preserve">(5)</w:t>
      </w:r>
      <w:r>
        <w:t xml:space="preserve"> </w:t>
      </w:r>
      <w:r>
        <w:t xml:space="preserve">Registered nurses, licensed practical nurses, and advanced practice registered nurses who obtain licensure by examination, endorsement, or reinstatement after July 1, 2022, shall satisfy the continuing competency requirements in subsection (6) of this section within three (3) years of licensure.</w:t>
      </w:r>
    </w:p>
    <w:p>
      <w:pPr>
        <w:pStyle w:val="kar_subsection"/>
      </w:pPr>
      <w:r>
        <w:t xml:space="preserve">(6)</w:t>
      </w:r>
      <w:r>
        <w:t xml:space="preserve"> </w:t>
      </w:r>
      <w:r>
        <w:t xml:space="preserve"> </w:t>
      </w:r>
    </w:p>
    <w:p>
      <w:pPr>
        <w:pStyle w:val="kar_paragraph"/>
      </w:pPr>
      <w:r>
        <w:t xml:space="preserve">(a)</w:t>
      </w:r>
      <w:r>
        <w:t xml:space="preserve"> </w:t>
      </w:r>
      <w:r>
        <w:t xml:space="preserve">Nurses shall earn a minimum of two (2) contact hours on the subject of suicide prevention, which shall consist of one (1) contact hour on suicide prevention generally, and one (1) contact hour that addresses:</w:t>
      </w:r>
    </w:p>
    <w:p>
      <w:pPr>
        <w:pStyle w:val="kar_subparagraph"/>
      </w:pPr>
      <w:r>
        <w:t xml:space="preserve">1.</w:t>
      </w:r>
      <w:r>
        <w:t xml:space="preserve"> </w:t>
      </w:r>
      <w:r>
        <w:t xml:space="preserve">Chronic toxic stress and secondary traumatic stress potentially increasing the incidence of suicide amongst nurses;</w:t>
      </w:r>
    </w:p>
    <w:p>
      <w:pPr>
        <w:pStyle w:val="kar_subparagraph"/>
      </w:pPr>
      <w:r>
        <w:t xml:space="preserve">2.</w:t>
      </w:r>
      <w:r>
        <w:t xml:space="preserve"> </w:t>
      </w:r>
      <w:r>
        <w:t xml:space="preserve">A confidential and standardized pathway to care for nurses that addresses screening, assessing, safety planning, referrals, and follow-up for nurses at risk for suicide;</w:t>
      </w:r>
    </w:p>
    <w:p>
      <w:pPr>
        <w:pStyle w:val="kar_subparagraph"/>
      </w:pPr>
      <w:r>
        <w:t xml:space="preserve">3.</w:t>
      </w:r>
      <w:r>
        <w:t xml:space="preserve"> </w:t>
      </w:r>
      <w:r>
        <w:t xml:space="preserve">Systems of care, evidence-informed approaches, and best practices to reduce suicide rates; and</w:t>
      </w:r>
    </w:p>
    <w:p>
      <w:pPr>
        <w:pStyle w:val="kar_subparagraph"/>
      </w:pPr>
      <w:r>
        <w:t xml:space="preserve">4.</w:t>
      </w:r>
      <w:r>
        <w:t xml:space="preserve"> </w:t>
      </w:r>
      <w:r>
        <w:t xml:space="preserve">Ethical legal considerations of caring for patients andnurses who are suicidal.</w:t>
      </w:r>
    </w:p>
    <w:p>
      <w:pPr>
        <w:pStyle w:val="kar_paragraph"/>
      </w:pPr>
      <w:r>
        <w:t xml:space="preserve">(b)</w:t>
      </w:r>
      <w:r>
        <w:t xml:space="preserve"> </w:t>
      </w:r>
      <w:r>
        <w:t xml:space="preserve">Nurses shall earn a minimum of one and one-half (1.5) contact hours in implicit bias that addresses:</w:t>
      </w:r>
    </w:p>
    <w:p>
      <w:pPr>
        <w:pStyle w:val="kar_subparagraph"/>
      </w:pPr>
      <w:r>
        <w:t xml:space="preserve">1.</w:t>
      </w:r>
      <w:r>
        <w:t xml:space="preserve"> </w:t>
      </w:r>
      <w:r>
        <w:t xml:space="preserve">The impact of historical racism and other forms of invidious discrimination on the provision of healthcare;</w:t>
      </w:r>
    </w:p>
    <w:p>
      <w:pPr>
        <w:pStyle w:val="kar_subparagraph"/>
      </w:pPr>
      <w:r>
        <w:t xml:space="preserve">2.</w:t>
      </w:r>
      <w:r>
        <w:t xml:space="preserve"> </w:t>
      </w:r>
      <w:r>
        <w:t xml:space="preserve">Methods of evaluating the presence and extent of implicit bias; and</w:t>
      </w:r>
    </w:p>
    <w:p>
      <w:pPr>
        <w:pStyle w:val="kar_subparagraph"/>
      </w:pPr>
      <w:r>
        <w:t xml:space="preserve">3.</w:t>
      </w:r>
      <w:r>
        <w:t xml:space="preserve"> </w:t>
      </w:r>
      <w:r>
        <w:t xml:space="preserve">Measures that may be taken to reduce implicit bias.</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CE Broker, the continuing education tracking system utilized by the board, via https://cebroker.com.</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9/2005; </w:t>
      </w:r>
    </w:p>
    <w:p>
      <w:pPr>
        <w:pStyle w:val="kar_paragraph"/>
      </w:pPr>
      <w:r>
        <w:t xml:space="preserve">(b)</w:t>
      </w:r>
      <w:r>
        <w:t xml:space="preserve"> </w:t>
      </w:r>
      <w:r>
        <w:t xml:space="preserve">"Nursing Continuing Education Employment Evaluation Form", 6/2021; and</w:t>
      </w:r>
    </w:p>
    <w:p>
      <w:pPr>
        <w:pStyle w:val="kar_paragraph"/>
      </w:pPr>
      <w:r>
        <w:t xml:space="preserve">(c)</w:t>
      </w:r>
      <w:r>
        <w:t xml:space="preserve"> </w:t>
      </w:r>
      <w:r>
        <w:t xml:space="preserve">"Preceptor Continuing Education Verification Form", 6/2021.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https://kbn.ky.gov/legalopinions/Pages/laws.aspx.</w:t>
      </w:r>
    </w:p>
    <w:p>
      <w:pPr>
        <w:pStyle w:val="kar_history"/>
        <w:sectPr>
          <w:pgSz w:w="12240" w:h="15840" w:orient="portrait" w:code="1"/>
          <w:pgMar w:top="1080" w:right="1080" w:bottom="1080" w:left="1080" w:header="720" w:footer="720" w:gutter="0"/>
          <w:paperSrc w:first="263" w:other="263"/>
          <w:noEndnote/>
          <w:docGrid w:linePitch="218"/>
        </w:sectPr>
      </w:pPr>
      <w:r>
        <w:t xml:space="preserve">(6 Ky.R. 699; 7 Ky.R. 400; eff. 10-1-1980; 9 Ky.R. 596; eff. 12-1-1982; 11 Ky.R. 1630; eff. 6-4-1985; 14 Ky.R. 583; eff. 11-6-1987; 2193; eff. 8-5-1988; 18 Ky.R. 3212; 19 Ky.R. 18; eff. 7-4-1992; 2671; eff. 8-6-1993; 22 Ky.R. 1337; 1594; eff. 3-7-1996; 23 Ky.R. 3073; eff. 3-19-1997; 27 Ky.R. 824; 1448; eff. 12-21-2000; 28 Ky.R. 126; eff. 9-10-2001; 29 Ky.R. 502; 921; eff. 10-16-2002; 2123; 2450; eff. 4-11-2003; 30 Ky.R. 2100; 2289; eff. 5-24-2004; 31 Ky.R. 799; 1058; eff. 1-4-2005; 32 Ky.R. 718; eff. 1-6-2006; 2322; eff. 9-1-2006; TAm eff. 7-13-2010; 2905; eff. 8-17-2011; 39 Ky.R. 540; eff. 2-1-2013; 42 Ky.R. 492; 1142; eff. 11-6-2015; 43 Ky.R. 1015; eff. 3-3-2017; 45 Ky.R. 1743, 2583; eff. 3.-13-2019; 48 Ky.R. 533, 2029; eff. 1-13-2022.)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7199d572b44df4" /><Relationship Type="http://schemas.openxmlformats.org/officeDocument/2006/relationships/settings" Target="/word/settings.xml" Id="R48c03a1757f74541" /></Relationships>
</file>