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a602e176642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43:071.</w:t>
      </w:r>
      <w:r>
        <w:t xml:space="preserve"> </w:t>
      </w:r>
      <w:r>
        <w:t xml:space="preserve">Repeal of 201 KAR 43:070.</w:t>
      </w:r>
    </w:p>
    <w:p>
      <w:pPr>
        <w:pStyle w:val="kar_markup_metadata"/>
      </w:pPr>
      <w:r>
        <w:t xml:space="preserve">RELATES TO: </w:t>
      </w:r>
      <w:r>
        <w:t xml:space="preserve">KRS 319C.060(1)</w:t>
      </w:r>
    </w:p>
    <w:p>
      <w:pPr>
        <w:pStyle w:val="kar_markup_metadata"/>
      </w:pPr>
      <w:r>
        <w:t xml:space="preserve">STATUTORY AUTHORITY: </w:t>
      </w:r>
      <w:r>
        <w:t xml:space="preserve">KRS 319C.060(1)</w:t>
      </w:r>
    </w:p>
    <w:p>
      <w:pPr>
        <w:pStyle w:val="kar_markup_metadata"/>
      </w:pPr>
      <w:r>
        <w:t xml:space="preserve">NECESSITY, FUNCTION, AND CONFORMITY: </w:t>
      </w:r>
      <w:r>
        <w:t xml:space="preserve">KRS 319C.060 authorizes the Kentucky Applied Behavior Analysis Board to promulgate administrative regulations required to establish qualifications and requirements for supervisees of a behavior analyst. This administrative regulation repeals 201 KAR 43:070 because the necessary substantive provisions of that regulation have been incorporated into other existing administrative regulation concerning the same subject matter for improved efficiency and ease of use.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201 KAR 43:070, Supervisees, is hereby repealed.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330954184446cb" /><Relationship Type="http://schemas.openxmlformats.org/officeDocument/2006/relationships/settings" Target="/word/settings.xml" Id="Re10593c84c634e18" /></Relationships>
</file>