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dd2565ff814373" /></Relationships>
</file>

<file path=word/document.xml><?xml version="1.0" encoding="utf-8"?>
<w:document xmlns:w="http://schemas.openxmlformats.org/wordprocessingml/2006/main">
  <w:body>
    <w:p>
      <w:pPr>
        <w:pStyle w:val="kar_citation"/>
      </w:pPr>
      <w:r>
        <w:t>101 KAR 1:367.</w:t>
      </w:r>
      <w:r>
        <w:t xml:space="preserve"> </w:t>
      </w:r>
      <w:r>
        <w:t xml:space="preserve">Standards of conduct and technology governing recording  board proceedings.</w:t>
      </w:r>
    </w:p>
    <w:p>
      <w:pPr>
        <w:pStyle w:val="kar_markup_metadata"/>
      </w:pPr>
      <w:r>
        <w:t xml:space="preserve">RELATES TO: </w:t>
      </w:r>
      <w:r>
        <w:t xml:space="preserve">KRS 18A.075, 18A.0751, 18A.095</w:t>
      </w:r>
    </w:p>
    <w:p>
      <w:pPr>
        <w:pStyle w:val="kar_markup_metadata"/>
      </w:pPr>
      <w:r>
        <w:t xml:space="preserve">STATUTORY AUTHORITY: </w:t>
      </w:r>
      <w:r>
        <w:t xml:space="preserve">KRS Chapter 13A, 18A.0751</w:t>
      </w:r>
    </w:p>
    <w:p>
      <w:pPr>
        <w:pStyle w:val="kar_markup_metadata"/>
      </w:pPr>
      <w:r>
        <w:t xml:space="preserve">NECESSITY, FUNCTION, AND CONFORMITY: </w:t>
      </w:r>
      <w:r>
        <w:t xml:space="preserve">KRS 18A.075 requires the Personnel Board to promulgate comprehensive administrative regulations consistent with the provisions of KRS 18A.005 to 18A.200. KRS 18A.0751 specifies that the Personnel Board promulgate comprehensive administrative regulations provisions for the procedures to be utilized by the board in the conduct of hearings. This administrative regulation will govern any and all recordings  of  Personnel Board proceedings.</w:t>
      </w:r>
    </w:p>
    <w:p>
      <w:pPr>
        <w:pStyle w:val="kar_section"/>
      </w:pPr>
      <w:r>
        <w:t xml:space="preserve">Section 1.</w:t>
      </w:r>
      <w:r>
        <w:t xml:space="preserve"> </w:t>
      </w:r>
      <w:r>
        <w:t xml:space="preserve">Equipment, Personnel,  and Location. The Personnel Board, its hearing officers, and staff shall have the discretion to determine:</w:t>
      </w:r>
    </w:p>
    <w:p>
      <w:pPr>
        <w:pStyle w:val="kar_subsection"/>
      </w:pPr>
      <w:r>
        <w:t xml:space="preserve">(1)</w:t>
      </w:r>
      <w:r>
        <w:t xml:space="preserve"> </w:t>
      </w:r>
      <w:r>
        <w:t xml:space="preserve">The appropriate and permissible equipment used for recording Personnel Board proceedings;</w:t>
      </w:r>
    </w:p>
    <w:p>
      <w:pPr>
        <w:pStyle w:val="kar_subsection"/>
      </w:pPr>
      <w:r>
        <w:t xml:space="preserve">(2)</w:t>
      </w:r>
      <w:r>
        <w:t xml:space="preserve"> </w:t>
      </w:r>
      <w:r>
        <w:t xml:space="preserve">The appropriate and permissible personnel allowed to record Personnel Board proceedings; and</w:t>
      </w:r>
    </w:p>
    <w:p>
      <w:pPr>
        <w:pStyle w:val="kar_subsection"/>
      </w:pPr>
      <w:r>
        <w:t xml:space="preserve">(3)</w:t>
      </w:r>
      <w:r>
        <w:t xml:space="preserve"> </w:t>
      </w:r>
      <w:r>
        <w:t xml:space="preserve">The appropriate and permissible location(s) for the equipment and personnel allowed to record Personnel Board proceedings. The Personnel Board, its hearing officers, and staff may use the discretion afforded them primarily to ensure that the process of recording Personnel Board proceedings does not produce distracting sound or light, which would unduly disrupt the orderly conduct of those proceedings.[ </w:t>
      </w:r>
    </w:p>
    <w:tbl>
      <w:tblPr>
        <w:tblStyle w:val="kar_table"/>
        <w:tblW w:w="0" w:type="auto"/>
      </w:tblPr>
      <w:tblGrid>
        <w:gridCol w:w="1"/>
        <w:gridCol w:w="1"/>
      </w:tblGrid>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bl>
    <w:p>
      <w:pPr>
        <w:pStyle w:val="kar_caption"/>
      </w:pPr>
    </w:p>
    <w:p>
      <w:pPr>
        <w:pStyle w:val="kar_section"/>
      </w:pPr>
      <w:r>
        <w:t xml:space="preserve">Section 2.</w:t>
      </w:r>
      <w:r>
        <w:t xml:space="preserve"> </w:t>
      </w:r>
      <w:r>
        <w:t xml:space="preserve">Movement During Proceedings. At the discretion of the board, recording  equipment shall not be placed in or removed from the hearing room except prior to commencement or after adjournment of proceedings each day, or during a recess. </w:t>
      </w:r>
    </w:p>
    <w:p>
      <w:pPr>
        <w:pStyle w:val="kar_section"/>
      </w:pPr>
      <w:r>
        <w:t xml:space="preserve">Section 3.</w:t>
      </w:r>
      <w:r>
        <w:t xml:space="preserve"> </w:t>
      </w:r>
      <w:r>
        <w:t xml:space="preserve">Conferences of Counsel. To protect the attorney-client privilege and the effective right to counsel, there shall be no audio pickup or broadcast of conferences that  occur in the hearing room between attorneys and their clients, between co-counsel of a client, or between counsel and the hearing officer held at the bench.</w:t>
      </w:r>
    </w:p>
    <w:p>
      <w:pPr>
        <w:pStyle w:val="kar_section"/>
      </w:pPr>
      <w:r>
        <w:t xml:space="preserve">Section 4.</w:t>
      </w:r>
      <w:r>
        <w:t xml:space="preserve"> </w:t>
      </w:r>
      <w:r>
        <w:t xml:space="preserve">Use of Media Material. Unless specifically permitted by the board, none of the recordings  developed during or by virtue of coverage of a board proceeding shall be admissible as evidence in the proceeding out of which it arose, any proceeding subsequent or collateral thereto, or upon any rehearing or appeal of such proceedings.</w:t>
      </w:r>
    </w:p>
    <w:p>
      <w:pPr>
        <w:pStyle w:val="kar_section"/>
      </w:pPr>
      <w:r>
        <w:t xml:space="preserve">Section 5.</w:t>
      </w:r>
      <w:r>
        <w:t xml:space="preserve"> </w:t>
      </w:r>
      <w:r>
        <w:t xml:space="preserve">Confidentiality.</w:t>
      </w:r>
    </w:p>
    <w:p>
      <w:pPr>
        <w:pStyle w:val="kar_subsection"/>
      </w:pPr>
      <w:r>
        <w:t xml:space="preserve">(1)</w:t>
      </w:r>
      <w:r>
        <w:t xml:space="preserve"> </w:t>
      </w:r>
      <w:r>
        <w:t xml:space="preserve">In order to protect the legally recognized interests in confidentiality of individuals, any party may move to exclude electronic media or still photographers from the hearing room during all or any portion of a hearing. </w:t>
      </w:r>
    </w:p>
    <w:p>
      <w:pPr>
        <w:pStyle w:val="kar_subsection"/>
      </w:pPr>
      <w:r>
        <w:t xml:space="preserve">(2)</w:t>
      </w:r>
      <w:r>
        <w:t xml:space="preserve"> </w:t>
      </w:r>
      <w:r>
        <w:t xml:space="preserve">The hearing officer, on their  own motion, may exclude electronic media or still photographers from the hearing room during all or a portion of a hearing in their  sound discretion.</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Applicability. This administrative regulation shall apply to all Personnel Board proceedings. Where this administrative regulation is to be applied to a meeting of the full board, the discretion afforded the board  as set out herein shall be exercised  by the chairman or vice-chairman of the board or, in their absence, the member of the board who is moderating the board meeting. Where this administrative regulation is to be applied to any other Personnel Board proceeding, the discretion afforded the board as set out herein shall be exercised by the hearing officer and/or member of Personnel Board staff.</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a96aff96c74a5b" /><Relationship Type="http://schemas.openxmlformats.org/officeDocument/2006/relationships/settings" Target="/word/settings.xml" Id="R77a52c8294c943ae" /></Relationships>
</file>