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f336d31a6b47c5" /></Relationships>
</file>

<file path=word/document.xml><?xml version="1.0" encoding="utf-8"?>
<w:document xmlns:w="http://schemas.openxmlformats.org/wordprocessingml/2006/main">
  <w:body>
    <w:p>
      <w:pPr>
        <w:pStyle w:val="kar_citation"/>
      </w:pPr>
      <w:r>
        <w:t>101 KAR 1:335.</w:t>
      </w:r>
      <w:r>
        <w:t xml:space="preserve"> </w:t>
      </w:r>
      <w:r>
        <w:t xml:space="preserve">Employee actions.</w:t>
      </w:r>
    </w:p>
    <w:p>
      <w:pPr>
        <w:pStyle w:val="kar_markup_metadata"/>
      </w:pPr>
      <w:r>
        <w:t xml:space="preserve">RELATES TO: </w:t>
      </w:r>
      <w:r>
        <w:t xml:space="preserve">KRS 18A.075(1)</w:t>
      </w:r>
    </w:p>
    <w:p>
      <w:pPr>
        <w:pStyle w:val="kar_markup_metadata"/>
      </w:pPr>
      <w:r>
        <w:t xml:space="preserve">STATUTORY AUTHORITY: </w:t>
      </w:r>
      <w:r>
        <w:t xml:space="preserve">KRS 18A.075, 18A.0751(1), (4)</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through 18A.200. KRS 18A.0751(1) and (4) require the Personnel Board to promulgate administrative regulations for the classified service governing demotion, transfer, reinstatement, and discipline.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Work Station.</w:t>
      </w:r>
    </w:p>
    <w:p>
      <w:pPr>
        <w:pStyle w:val="kar_subsection"/>
      </w:pPr>
      <w:r>
        <w:t xml:space="preserve">(1)</w:t>
      </w:r>
      <w:r>
        <w:t xml:space="preserve"> </w:t>
      </w:r>
      <w:r>
        <w:t xml:space="preserve">The official work station of an employee assigned to an office shall be the street address where the office is located.</w:t>
      </w:r>
    </w:p>
    <w:p>
      <w:pPr>
        <w:pStyle w:val="kar_subsection"/>
      </w:pPr>
      <w:r>
        <w:t xml:space="preserve">(2)</w:t>
      </w:r>
      <w:r>
        <w:t xml:space="preserve"> </w:t>
      </w:r>
      <w:r>
        <w:t xml:space="preserve">The official work station of a field employee shall be that address to which the employee is assigned at the time of appointment to the employee's current position.</w:t>
      </w:r>
    </w:p>
    <w:p>
      <w:pPr>
        <w:pStyle w:val="kar_subsection"/>
      </w:pPr>
      <w:r>
        <w:t xml:space="preserve">(3)</w:t>
      </w:r>
      <w:r>
        <w:t xml:space="preserve"> </w:t>
      </w:r>
      <w:r>
        <w:t xml:space="preserve">Except as established by Sections 2, 3, and 4 of this administrative regulation, an appointing authority may assign an employee to work at a site other than his or her current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2.</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demotion;</w:t>
      </w:r>
    </w:p>
    <w:p>
      <w:pPr>
        <w:pStyle w:val="kar_subparagraph"/>
      </w:pPr>
      <w:r>
        <w:t xml:space="preserve">2.</w:t>
      </w:r>
      <w:r>
        <w:t xml:space="preserve"> </w:t>
      </w:r>
      <w:r>
        <w:t xml:space="preserve">The position from which the employee requests demotion;</w:t>
      </w:r>
    </w:p>
    <w:p>
      <w:pPr>
        <w:pStyle w:val="kar_subparagraph"/>
      </w:pPr>
      <w:r>
        <w:t xml:space="preserve">3.</w:t>
      </w:r>
      <w:r>
        <w:t xml:space="preserve"> </w:t>
      </w:r>
      <w:r>
        <w:t xml:space="preserve">The position to which the employee will be demoted;</w:t>
      </w:r>
    </w:p>
    <w:p>
      <w:pPr>
        <w:pStyle w:val="kar_subparagraph"/>
      </w:pPr>
      <w:r>
        <w:t xml:space="preserve">4.</w:t>
      </w:r>
      <w:r>
        <w:t xml:space="preserve"> </w:t>
      </w:r>
      <w:r>
        <w:t xml:space="preserve">The pay grade, salary, and work week for 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form to the Personnel Cabinet Secretary.</w:t>
      </w:r>
    </w:p>
    <w:p>
      <w:pPr>
        <w:pStyle w:val="kar_subsection"/>
      </w:pPr>
      <w:r>
        <w:t xml:space="preserve">(3)</w:t>
      </w:r>
      <w:r>
        <w:t xml:space="preserve"> </w:t>
      </w:r>
      <w:r>
        <w:t xml:space="preserve">A voluntary demotion shall be interagency or intra-agency.</w:t>
      </w:r>
    </w:p>
    <w:p>
      <w:pPr>
        <w:pStyle w:val="kar_section"/>
      </w:pPr>
      <w:r>
        <w:t xml:space="preserve">Section 3.</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cause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sixty (60) calendar days of receipt of the notice of involuntary transfer, excluding the date the notice is received.</w:t>
      </w:r>
    </w:p>
    <w:p>
      <w:pPr>
        <w:pStyle w:val="kar_paragraph"/>
      </w:pPr>
      <w:r>
        <w:t xml:space="preserve">(c)</w:t>
      </w:r>
      <w:r>
        <w:t xml:space="preserve"> </w:t>
      </w:r>
      <w:r>
        <w:t xml:space="preserve">A copy of the notice shall be forwarded to the Personnel Cabinet Secretary.</w:t>
      </w:r>
    </w:p>
    <w:p>
      <w:pPr>
        <w:pStyle w:val="kar_paragraph"/>
      </w:pPr>
      <w:r>
        <w:t xml:space="preserve">(d)</w:t>
      </w:r>
      <w:r>
        <w:t xml:space="preserve"> </w:t>
      </w:r>
      <w:r>
        <w:t xml:space="preserve">An employee shall report to the new work station upon the date stated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expenses as established by 200 KAR 2:006;</w:t>
      </w:r>
    </w:p>
    <w:p>
      <w:pPr>
        <w:pStyle w:val="kar_paragraph"/>
      </w:pPr>
      <w:r>
        <w:t xml:space="preserve">(b)</w:t>
      </w:r>
      <w:r>
        <w:t xml:space="preserve"> </w:t>
      </w:r>
      <w:r>
        <w:t xml:space="preserve">An employee shall receive a written notice of involuntary transfer at least thirty (30) calendar days prior to the effective date of the transfer; and</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established in subsection (3)(b) of this section; and</w:t>
      </w:r>
    </w:p>
    <w:p>
      <w:pPr>
        <w:pStyle w:val="kar_subparagraph"/>
      </w:pPr>
      <w:r>
        <w:t xml:space="preserve">2.</w:t>
      </w:r>
      <w:r>
        <w:t xml:space="preserve"> </w:t>
      </w:r>
      <w:r>
        <w:t xml:space="preserve">A statement that the employee is entitled to reimbursement of travel expenses incurred thirty (30) calendar days following the effective date of the transfer.</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transfer;</w:t>
      </w:r>
    </w:p>
    <w:p>
      <w:pPr>
        <w:pStyle w:val="kar_subparagraph"/>
      </w:pPr>
      <w:r>
        <w:t xml:space="preserve">2.</w:t>
      </w:r>
      <w:r>
        <w:t xml:space="preserve"> </w:t>
      </w:r>
      <w:r>
        <w:t xml:space="preserve">The position number and job classification from which the employee requests a transfer;</w:t>
      </w:r>
    </w:p>
    <w:p>
      <w:pPr>
        <w:pStyle w:val="kar_subparagraph"/>
      </w:pPr>
      <w:r>
        <w:t xml:space="preserve">3.</w:t>
      </w:r>
      <w:r>
        <w:t xml:space="preserve"> </w:t>
      </w:r>
      <w:r>
        <w:t xml:space="preserve">The position number and job classification to which the employee requests a transfer;</w:t>
      </w:r>
    </w:p>
    <w:p>
      <w:pPr>
        <w:pStyle w:val="kar_subparagraph"/>
      </w:pPr>
      <w:r>
        <w:t xml:space="preserve">4.</w:t>
      </w:r>
      <w:r>
        <w:t xml:space="preserve"> </w:t>
      </w:r>
      <w:r>
        <w:t xml:space="preserve">The pay grade, salary, and work week for the position to which the employee will be transferred;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form to the Personnel Cabinet Secretary.</w:t>
      </w:r>
    </w:p>
    <w:p>
      <w:pPr>
        <w:pStyle w:val="kar_subsection"/>
      </w:pPr>
      <w:r>
        <w:t xml:space="preserve">(7)</w:t>
      </w:r>
      <w:r>
        <w:t xml:space="preserve"> </w:t>
      </w:r>
      <w:r>
        <w:t xml:space="preserve">A voluntary transfer shall be interagency or intra-agency.</w:t>
      </w:r>
    </w:p>
    <w:p>
      <w:pPr>
        <w:pStyle w:val="kar_section"/>
      </w:pPr>
      <w:r>
        <w:t xml:space="preserve">Section 4.</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Personnel Cabinet Secretary.</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the reinstatement is to a job classification outside of the job classification where the employee has previously held status, the candidate shall pass the appropriate examination, if applicable, prior to reinstatement.</w:t>
      </w:r>
    </w:p>
    <w:p>
      <w:pPr>
        <w:pStyle w:val="kar_subsection"/>
      </w:pPr>
      <w:r>
        <w:t xml:space="preserve">(4)</w:t>
      </w:r>
      <w:r>
        <w:t xml:space="preserve"> </w:t>
      </w:r>
      <w:r>
        <w:t xml:space="preserve">The request for reinstatement shall contain a copy of the board's order ordering reinstatement, if applicable.</w:t>
      </w:r>
    </w:p>
    <w:p>
      <w:pPr>
        <w:pStyle w:val="kar_section"/>
      </w:pPr>
      <w:r>
        <w:t xml:space="preserve">Section 5.</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from the date of the written reprimand.</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w:t>
      </w:r>
    </w:p>
    <w:p>
      <w:pPr>
        <w:pStyle w:val="kar_clause"/>
      </w:pPr>
      <w:r>
        <w:t xml:space="preserve">a.</w:t>
      </w:r>
      <w:r>
        <w:t xml:space="preserve"> </w:t>
      </w:r>
      <w:r>
        <w:t xml:space="preserve">The employee's current position number, job classification,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notification of the petition to the employee's current appointing authority.</w:t>
      </w:r>
    </w:p>
    <w:p>
      <w:pPr>
        <w:pStyle w:val="kar_paragraph"/>
      </w:pPr>
      <w:r>
        <w:t xml:space="preserve">(c)</w:t>
      </w:r>
      <w:r>
        <w:t xml:space="preserve"> </w:t>
      </w:r>
      <w:r>
        <w:t xml:space="preserve">The petition for removal shall be mailed by first-class mail, hand-delivered to the office of the Personnel Cabinet Secretary, or submitted electronically as allowed by the Personnel Cabinet Secretary.</w:t>
      </w:r>
    </w:p>
    <w:p>
      <w:pPr>
        <w:pStyle w:val="kar_subsection"/>
      </w:pPr>
      <w:r>
        <w:t xml:space="preserve">(2)</w:t>
      </w:r>
      <w:r>
        <w:t xml:space="preserve"> </w:t>
      </w:r>
      <w:r>
        <w:t xml:space="preserve">A petition for removal of a written reprimand shall be approved by the Personnel Cabinet Secretary before the reprimand removal.</w:t>
      </w:r>
    </w:p>
    <w:p>
      <w:pPr>
        <w:pStyle w:val="kar_paragraph"/>
      </w:pPr>
      <w:r>
        <w:t xml:space="preserve">(a)</w:t>
      </w:r>
      <w:r>
        <w:t xml:space="preserve"> </w:t>
      </w:r>
      <w:r>
        <w:t xml:space="preserve">The Personnel Cabinet Secretary shall approve or deny the petition for removal within thirty (30) calendar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written reprimand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1715; Am. 2008; eff. 3-9-1989; 17 Ky.R. 95; eff. 9-12-1990; 19 Ky.R. 1633; 2234; eff. 4-7-1993; 20 Ky.R. 826; 1567; eff. 12-6-1993; 24 Ky.R. 1751; 2106; eff. 4-13-1998; 34 Ky.R. 2419; 35 Ky.R. 256; eff. 9-5-2008; 38 Ky.R. 809; 1115; eff. 1-6-2012; 48 Ky.R. 1220, 2190;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c9c1ac5a364c03" /><Relationship Type="http://schemas.openxmlformats.org/officeDocument/2006/relationships/settings" Target="/word/settings.xml" Id="R96a65d241c0643ff" /></Relationships>
</file>