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32a9b95e6940bf" /></Relationships>
</file>

<file path=word/document.xml><?xml version="1.0" encoding="utf-8"?>
<w:document xmlns:w="http://schemas.openxmlformats.org/wordprocessingml/2006/main">
  <w:body>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 </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 and</w:t>
      </w:r>
    </w:p>
    <w:p>
      <w:pPr>
        <w:pStyle w:val="kar_paragraph"/>
      </w:pPr>
      <w:r>
        <w:t xml:space="preserve">(e)</w:t>
      </w:r>
      <w:r>
        <w:t xml:space="preserve"> </w:t>
      </w:r>
      <w:r>
        <w:t xml:space="preserve">Light Cured Gels.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 An apprentice instructor shall be under the immediate supervision and instruction of a licensed instructor during the school day. An apprentice instructor shall not assume the duties and responsibilities of a licensed supervising instructor.</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 ;</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 </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Blow Drying Services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Blow Drying Services License Hours Required.</w:t>
      </w:r>
    </w:p>
    <w:p>
      <w:pPr>
        <w:pStyle w:val="kar_subsection"/>
      </w:pPr>
      <w:r>
        <w:t xml:space="preserve">(1)</w:t>
      </w:r>
      <w:r>
        <w:t xml:space="preserve"> </w:t>
      </w:r>
      <w:r>
        <w:t xml:space="preserve">A blow drying services license student shall receive no less than 400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blow drying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total hours obtained for the previous month and the total accumulated hours to date for all students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students additional fees beyond the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to perform services in the school for compensation during school hours.</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the student's digital enrollment, accompanied by the applicant's proof of education, as established in Section 23 of this administrative regulation, within ten (10) business days of enrollment.</w:t>
      </w:r>
    </w:p>
    <w:p>
      <w:pPr>
        <w:pStyle w:val="kar_subsection"/>
      </w:pPr>
      <w:r>
        <w:t xml:space="preserve">(2)</w:t>
      </w:r>
      <w:r>
        <w:t xml:space="preserve"> </w:t>
      </w:r>
      <w:r>
        <w:t xml:space="preserve">All student identification information on the school's digital enrollment shall exactly match a state or federal government-issued identification card to take the examination. If corrections shall be made, the school shall submit the Enrollment Correction Application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ection"/>
      </w:pPr>
      <w:r>
        <w:t xml:space="preserve">Section 26.</w:t>
      </w:r>
      <w:r>
        <w:t xml:space="preserve"> </w:t>
      </w:r>
      <w:r>
        <w:t xml:space="preserve">Transfer. A student desiring to transfer to another licensed school shall:</w:t>
      </w:r>
    </w:p>
    <w:p>
      <w:pPr>
        <w:pStyle w:val="kar_subsection"/>
      </w:pPr>
      <w:r>
        <w:t xml:space="preserve">(1)</w:t>
      </w:r>
      <w:r>
        <w:t xml:space="preserve"> </w:t>
      </w:r>
      <w:r>
        <w:t xml:space="preserve">Notify the school in which the student is presently enrolled of the student's withdrawal;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school-student contracts.</w:t>
      </w:r>
    </w:p>
    <w:p>
      <w:pPr>
        <w:pStyle w:val="kar_section"/>
      </w:pPr>
      <w:r>
        <w:t xml:space="preserve">Section 28.</w:t>
      </w:r>
      <w:r>
        <w:t xml:space="preserve"> </w:t>
      </w:r>
      <w:r>
        <w:t xml:space="preserve">Student Complaints. A student may file a complaint with the board concerning the school in which the student is enrolled, by following the procedures outlined in 201 KAR 12:190.</w:t>
      </w:r>
    </w:p>
    <w:p>
      <w:pPr>
        <w:pStyle w:val="kar_section"/>
      </w:pPr>
      <w:r>
        <w:t xml:space="preserve">Section 29.</w:t>
      </w:r>
      <w:r>
        <w:t xml:space="preserve"> </w:t>
      </w:r>
      <w:r>
        <w:t xml:space="preserve">Student Leave of Absence. The school shall report a student's leave of absence to the board within ten (10) business days. The leave shall be reported:</w:t>
      </w:r>
    </w:p>
    <w:p>
      <w:pPr>
        <w:pStyle w:val="kar_subsection"/>
      </w:pPr>
      <w:r>
        <w:t xml:space="preserve">(1)</w:t>
      </w:r>
      <w:r>
        <w:t xml:space="preserve"> </w:t>
      </w:r>
      <w:r>
        <w:t xml:space="preserve">In writing from the student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Student Withdrawal. Within ten (10) business days from a student's withdrawal, a licensed school shall report the name of the withdrawing student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If a current licensee chooses to enter into the practice of cosmetology, they shall complete and submit the Program Hour Transfer Request form. Upon receiving a completed Program Hour Transfer Request form, the board shall treat the transferred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blow drying services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33.</w:t>
      </w:r>
      <w:r>
        <w:t xml:space="preserve"> </w:t>
      </w:r>
      <w:r>
        <w:t xml:space="preserve">Emergency Alternative Education. Digital theory content may be administered by a licensed school if forced long-term or intermittent emergency closure or closures are due to a world health concern or crisis as cited by national or state authority. The board may determine when emergency alternative education shall begin and end based on the effect of the state of emergency on education standards and shall make determinations in compliance with state and national declarations of emergency. The necessary compliance steps for implementation are:</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prior to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No student shall accrue more than the total required theory instruction hours outlined in the  instructional sections in emergency alternative education time as established in Sections 3(1)(a), 7(1)(a), 14(1)(a) and 16(1)(a)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t xml:space="preserve">Section 34.</w:t>
      </w:r>
      <w:r>
        <w:t xml:space="preserve"> </w:t>
      </w:r>
      <w:r>
        <w:t xml:space="preserve"> 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October 2018;</w:t>
      </w:r>
    </w:p>
    <w:p>
      <w:pPr>
        <w:pStyle w:val="kar_paragraph"/>
      </w:pPr>
      <w:r>
        <w:t xml:space="preserve">(b)</w:t>
      </w:r>
      <w:r>
        <w:t xml:space="preserve"> </w:t>
      </w:r>
      <w:r>
        <w:t xml:space="preserve">"Enrollment Correction Application", October 2018; and</w:t>
      </w:r>
    </w:p>
    <w:p>
      <w:pPr>
        <w:pStyle w:val="kar_paragraph"/>
      </w:pPr>
      <w:r>
        <w:t xml:space="preserve">(c)</w:t>
      </w:r>
      <w:r>
        <w:t xml:space="preserve"> </w:t>
      </w:r>
      <w:r>
        <w:t xml:space="preserve">"Program Hour Transfer Request Form", April 2020.</w:t>
      </w:r>
    </w:p>
    <w:p>
      <w:pPr>
        <w:pStyle w:val="kar_subsection"/>
      </w:pPr>
      <w:r>
        <w:t xml:space="preserve">(2)</w:t>
      </w:r>
      <w:r>
        <w:t xml:space="preserve"> </w:t>
      </w:r>
      <w:r>
        <w:t xml:space="preserve">This material may be inspected, copied, or obtained, subject to applicable copyright law, at the Kentucky Board of Cosmetology, 111 St. James Court, Suite A, Frankfort, Ken-tucky 40601, Monday through Friday, 8 a.m. to 4:30 p.m. This material is also available on the board's Web site at kbc.ky.gov.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182; eff. 11-12-1975; 3 Ky.R. 388; eff. 12-1-1976; 7 Ky.R. 483; 640; eff. 2-4-1981; 11 Ky.R. 1441; eff. 5-14-1985; 16 Ky.R. 1605; eff. 4-12-1990; 22 Ky.R. 613; 1452; eff. 1-25-1996; 23 Ky.R. 2195; 2969; eff. 3-14-1997; 30 Ky.R. 962; 1565; 1910; eff. 2-16-2004; 40 Ky.R. 374; 1027; eff. 12-6-2013; 44 Ky.R. 1113; 1502; eff. 2-2-2018; 44 Ky.R. 2364; 45 Ky.R. 17; eff. 8-6-2018; 45 Ky.R. 1727, 2335; eff. 3-8-2019; 46 Ky.R. 2303, 2888; eff. 7-30-2020; TAm eff. 3-24-2021; 48 Ky.R. 1627, 2196;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e7f17b055c4790" /><Relationship Type="http://schemas.openxmlformats.org/officeDocument/2006/relationships/settings" Target="/word/settings.xml" Id="Rd120028edd34460a" /></Relationships>
</file>