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d8c402820a40aa" /></Relationships>
</file>

<file path=word/document.xml><?xml version="1.0" encoding="utf-8"?>
<w:document xmlns:w="http://schemas.openxmlformats.org/wordprocessingml/2006/main">
  <w:body>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requires the State Libraries, Archives, and Records Commission to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through 171.740. This administrative regulation establishes records retention and disposition schedules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Workforce Development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Workforce Development Cabinet",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Schedule",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pPr>
      <w:r>
        <w:t xml:space="preserve">(2)</w:t>
      </w:r>
      <w:r>
        <w:t xml:space="preserve"> </w:t>
      </w:r>
      <w:r>
        <w:t xml:space="preserve">This material may be inspected, copied, or obtained, subject to applicable copyright law, at the Archives and Records Management Division,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793; Am. 983; eff. 12-7-2007; 37 Ky.R. 969; 11-5-2010; 38 Ky.R. 1493; eff. 5-4-2012; 41 Ky.R. 2353; eff. 7-13-2015; 48 Ky.R. 566, 2217;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4dca37f4a44d25" /><Relationship Type="http://schemas.openxmlformats.org/officeDocument/2006/relationships/settings" Target="/word/settings.xml" Id="Rd211eeb74738475a" /></Relationships>
</file>