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338bb5cf204bf1" /></Relationships>
</file>

<file path=word/document.xml><?xml version="1.0" encoding="utf-8"?>
<w:document xmlns:w="http://schemas.openxmlformats.org/wordprocessingml/2006/main">
  <w:body>
    <w:p>
      <w:pPr>
        <w:pStyle w:val="kar_citation"/>
      </w:pPr>
      <w:r>
        <w:t>401 KAR 51:010.</w:t>
      </w:r>
      <w:r>
        <w:t xml:space="preserve"> </w:t>
      </w:r>
      <w:r>
        <w:t xml:space="preserve">Attainment status designations.</w:t>
      </w:r>
    </w:p>
    <w:p>
      <w:pPr>
        <w:pStyle w:val="kar_markup_metadata"/>
      </w:pPr>
      <w:r>
        <w:t xml:space="preserve">RELATES TO: </w:t>
      </w:r>
      <w:r>
        <w:t xml:space="preserve">KRS 224.20-100, 224.20-110, 224.20-120, 40 C.F.R. 50, 51, 52, 53, 58, 75, 81.318, 42 U.S.C. 7401-7671q</w:t>
      </w:r>
    </w:p>
    <w:p>
      <w:pPr>
        <w:pStyle w:val="kar_markup_metadata"/>
      </w:pPr>
      <w:r>
        <w:t xml:space="preserve">STATUTORY AUTHORITY: </w:t>
      </w:r>
      <w:r>
        <w:t xml:space="preserve">KRS 224.10-100(5), 224.20-110, 42 U.S.C. 7407</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designates the status of all areas of the Commonwealth of Kentucky with regard to attainment of the ambient air quality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"Rest of state" means the remainder of the state has been designated and identified on a county by county basis.</w:t>
      </w:r>
    </w:p>
    <w:p>
      <w:pPr>
        <w:pStyle w:val="kar_subsection"/>
      </w:pPr>
      <w:r>
        <w:t xml:space="preserve">(2)</w:t>
      </w:r>
      <w:r>
        <w:t xml:space="preserve"> </w:t>
      </w:r>
      <w:r>
        <w:t xml:space="preserve">"Road" means a Kentucky route, a county road, a lane, or a U.S. route, highway, or interstate.</w:t>
      </w:r>
    </w:p>
    <w:p>
      <w:pPr>
        <w:pStyle w:val="kar_subsection"/>
      </w:pPr>
      <w:r>
        <w:t xml:space="preserve">(3)</w:t>
      </w:r>
      <w:r>
        <w:t xml:space="preserve"> </w:t>
      </w:r>
      <w:r>
        <w:t xml:space="preserve">"Statewide" means the entire state has been designated on a county by county basis.</w:t>
      </w:r>
    </w:p>
    <w:p>
      <w:pPr>
        <w:pStyle w:val="kar_section"/>
      </w:pPr>
      <w:r>
        <w:t xml:space="preserve">Section 2.</w:t>
      </w:r>
      <w:r>
        <w:t xml:space="preserve"> </w:t>
      </w:r>
      <w:r>
        <w:t xml:space="preserve">Attainment Status Designations.</w:t>
      </w:r>
    </w:p>
    <w:p>
      <w:pPr>
        <w:pStyle w:val="kar_subsection"/>
      </w:pPr>
      <w:r>
        <w:t xml:space="preserve">(1)</w:t>
      </w:r>
      <w:r>
        <w:t xml:space="preserve"> </w:t>
      </w:r>
      <w:r>
        <w:t xml:space="preserve">The attainment status of areas of the Commonwealth of Kentucky with respect to the ambient air quality standards for carbon monoxide, lead, nitrogen oxides, ozone, particulate matter, and sulfur dioxide is listed in Sections 4 through 10 of this administrative regulation.</w:t>
      </w:r>
    </w:p>
    <w:p>
      <w:pPr>
        <w:pStyle w:val="kar_subsection"/>
      </w:pPr>
      <w:r>
        <w:t xml:space="preserve">(2)</w:t>
      </w:r>
      <w:r>
        <w:t xml:space="preserve"> </w:t>
      </w:r>
      <w:r>
        <w:t xml:space="preserve">Within sixty (60) days of revision by the U.S. Environmental Protection Agency (U.S. EPA) of a national ambient air quality standard, the cabinet shall review applicable data and submit to the U.S. EPA a revision to the attainment - nonattainment list pursuant to 42 U.S.C. 7407(d)(1).</w:t>
      </w:r>
    </w:p>
    <w:p>
      <w:pPr>
        <w:pStyle w:val="kar_subsection"/>
      </w:pPr>
      <w:r>
        <w:t xml:space="preserve">(3)</w:t>
      </w:r>
      <w:r>
        <w:t xml:space="preserve"> </w:t>
      </w:r>
      <w:r>
        <w:t xml:space="preserve">A road, junction, or intersection of two (2) or more roads as used in Section 7 of this administrative regulation that defines a nonattainment boundary for an area that is a portion of a county designated as nonattainment for ozone for any classification except marginal shall include as nonattainment an area extending 750 feet from the center of the road, junction, or intersection.</w:t>
      </w:r>
    </w:p>
    <w:p>
      <w:pPr>
        <w:pStyle w:val="kar_section"/>
      </w:pPr>
      <w:r>
        <w:t xml:space="preserve">Section 3.</w:t>
      </w:r>
      <w:r>
        <w:t xml:space="preserve"> </w:t>
      </w:r>
      <w:r>
        <w:t xml:space="preserve">Attainment Timetable. Primary and secondary ambient air quality standards shall be attained as expeditiously as practicable.</w:t>
      </w:r>
    </w:p>
    <w:p>
      <w:pPr>
        <w:pStyle w:val="kar_section"/>
      </w:pPr>
      <w:r>
        <w:t xml:space="preserve">Section 4.</w:t>
      </w:r>
      <w:r>
        <w:t xml:space="preserve"> </w:t>
      </w:r>
      <w:r>
        <w:t xml:space="preserve">Attainment Status Designations for Carbon Monoxide (CO). 1971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5.</w:t>
      </w:r>
      <w:r>
        <w:t xml:space="preserve"> </w:t>
      </w:r>
      <w:r>
        <w:t xml:space="preserve">Attainment Status Designations for Lead (Pb). 2008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6.</w:t>
      </w:r>
      <w:r>
        <w:t xml:space="preserve"> </w:t>
      </w:r>
      <w:r>
        <w:t xml:space="preserve">Attainment Status Designations for Nitrogen Oxides (NO</w:t>
      </w:r>
      <w:r>
        <w:rPr>
          <w:vertAlign w:val="subscript"/>
        </w:rPr>
        <w:t xml:space="preserve">2</w:t>
      </w:r>
      <w:r>
        <w:t xml:space="preserve">).</w:t>
      </w:r>
    </w:p>
    <w:p>
      <w:pPr>
        <w:pStyle w:val="kar_subsection"/>
      </w:pPr>
      <w:r>
        <w:t xml:space="preserve">(1)</w:t>
      </w:r>
      <w:r>
        <w:t xml:space="preserve"> </w:t>
      </w:r>
      <w:r>
        <w:t xml:space="preserve">1971 Annual Standard:</w:t>
      </w:r>
    </w:p>
    <w:tbl>
      <w:tblPr>
        <w:tblStyle w:val="kar_table"/>
        <w:tblW w:w="0" w:type="auto"/>
      </w:tblPr>
      <w:tblGrid>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Cannot Be Classified or Better Than Standards</w:t>
            </w:r>
          </w:p>
        </w:tc>
      </w:tr>
      <w:tr>
        <w:tc>
          <w:tcPr/>
          <w:p>
            <w:pPr>
              <w:pStyle w:val="kar_table_cell"/>
            </w:pPr>
            <w:r>
              <w:t xml:space="preserve">Statewide</w:t>
            </w:r>
          </w:p>
        </w:tc>
        <w:tc>
          <w:tcPr/>
          <w:p>
            <w:pPr>
              <w:pStyle w:val="kar_table_cell"/>
            </w:pPr>
            <w:r>
              <w:t xml:space="preserve"> </w:t>
            </w:r>
          </w:p>
        </w:tc>
        <w:tc>
          <w:tcPr/>
          <w:p>
            <w:pPr>
              <w:pStyle w:val="kar_table_cell"/>
            </w:pPr>
            <w:r>
              <w:t xml:space="preserve">X</w:t>
            </w:r>
          </w:p>
        </w:tc>
      </w:tr>
    </w:tbl>
    <w:p>
      <w:pPr>
        <w:pStyle w:val="kar_subsection"/>
      </w:pPr>
      <w:r>
        <w:t xml:space="preserve">(2)</w:t>
      </w:r>
      <w:r>
        <w:t xml:space="preserve"> </w:t>
      </w:r>
      <w:r>
        <w:t xml:space="preserve">2010 One (1) Hour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7.</w:t>
      </w:r>
      <w:r>
        <w:t xml:space="preserve"> </w:t>
      </w:r>
      <w:r>
        <w:t xml:space="preserve">Attainment Status Designations for Ozone (O</w:t>
      </w:r>
      <w:r>
        <w:rPr>
          <w:vertAlign w:val="subscript"/>
        </w:rPr>
        <w:t xml:space="preserve">3</w:t>
      </w:r>
      <w:r>
        <w:t xml:space="preserve">).</w:t>
      </w:r>
    </w:p>
    <w:p>
      <w:pPr>
        <w:pStyle w:val="kar_subsection"/>
      </w:pPr>
      <w:r>
        <w:t xml:space="preserve">(1)</w:t>
      </w:r>
      <w:r>
        <w:t xml:space="preserve"> </w:t>
      </w:r>
      <w:r>
        <w:t xml:space="preserve">The 1971 One (1) Hour Standard was revoked effective June 15, 2005, for all areas in the Commonwealth of Kentucky. The Cincinnati-Hamilton, Edmonson County, Huntington-Ashland, Lexington-Fayette, Louisville, Owensboro, and Paducah areas shall be considered maintenance areas for the one (1) hour national ambient air quality standards for the purposes of 40 C.F.R. Part 51, Subpart X.</w:t>
      </w:r>
    </w:p>
    <w:p>
      <w:pPr>
        <w:pStyle w:val="kar_subsection"/>
      </w:pPr>
      <w:r>
        <w:t xml:space="preserve">(2)</w:t>
      </w:r>
      <w:r>
        <w:t xml:space="preserve"> </w:t>
      </w:r>
      <w:r>
        <w:t xml:space="preserve">1997 Eight (8)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w:t>
            </w:r>
          </w:p>
        </w:tc>
        <w:tc>
          <w:tcPr/>
          <w:p>
            <w:pPr>
              <w:pStyle w:val="kar_table_cell"/>
            </w:pPr>
            <w:r>
              <w:t xml:space="preserve">Attainment</w:t>
            </w:r>
            <w:r>
              <w:rPr>
                <w:vertAlign w:val="superscript"/>
              </w:rPr>
              <w:t xml:space="preserve">(1)</w:t>
            </w:r>
          </w:p>
        </w:tc>
      </w:tr>
      <w:tr>
        <w:tc>
          <w:tcPr/>
          <w:p>
            <w:pPr>
              <w:pStyle w:val="kar_table_cell"/>
            </w:pPr>
            <w:r>
              <w:t xml:space="preserve">Boyd County</w:t>
            </w:r>
          </w:p>
        </w:tc>
        <w:tc>
          <w:tcPr/>
          <w:p>
            <w:pPr>
              <w:pStyle w:val="kar_table_cell"/>
            </w:pPr>
            <w:r>
              <w:t xml:space="preserve">Attainment</w:t>
            </w:r>
            <w:r>
              <w:rPr>
                <w:vertAlign w:val="superscript"/>
              </w:rPr>
              <w:t xml:space="preserve">(1)</w:t>
            </w:r>
          </w:p>
        </w:tc>
      </w:tr>
      <w:tr>
        <w:tc>
          <w:tcPr/>
          <w:p>
            <w:pPr>
              <w:pStyle w:val="kar_table_cell"/>
            </w:pPr>
            <w:r>
              <w:t xml:space="preserve">Bullitt County</w:t>
            </w:r>
          </w:p>
        </w:tc>
        <w:tc>
          <w:tcPr/>
          <w:p>
            <w:pPr>
              <w:pStyle w:val="kar_table_cell"/>
            </w:pPr>
            <w:r>
              <w:t xml:space="preserve">Attainment</w:t>
            </w:r>
            <w:r>
              <w:rPr>
                <w:vertAlign w:val="superscript"/>
              </w:rPr>
              <w:t xml:space="preserve">(1)</w:t>
            </w:r>
          </w:p>
        </w:tc>
      </w:tr>
      <w:tr>
        <w:tc>
          <w:tcPr/>
          <w:p>
            <w:pPr>
              <w:pStyle w:val="kar_table_cell"/>
            </w:pPr>
            <w:r>
              <w:t xml:space="preserve">Campbell County</w:t>
            </w:r>
          </w:p>
        </w:tc>
        <w:tc>
          <w:tcPr/>
          <w:p>
            <w:pPr>
              <w:pStyle w:val="kar_table_cell"/>
            </w:pPr>
            <w:r>
              <w:t xml:space="preserve">Attainment</w:t>
            </w:r>
            <w:r>
              <w:rPr>
                <w:vertAlign w:val="superscript"/>
              </w:rPr>
              <w:t xml:space="preserve">(1)</w:t>
            </w:r>
          </w:p>
        </w:tc>
      </w:tr>
      <w:tr>
        <w:tc>
          <w:tcPr/>
          <w:p>
            <w:pPr>
              <w:pStyle w:val="kar_table_cell"/>
            </w:pPr>
            <w:r>
              <w:t xml:space="preserve">Christian County</w:t>
            </w:r>
          </w:p>
        </w:tc>
        <w:tc>
          <w:tcPr/>
          <w:p>
            <w:pPr>
              <w:pStyle w:val="kar_table_cell"/>
            </w:pPr>
            <w:r>
              <w:t xml:space="preserve">Attainment</w:t>
            </w:r>
            <w:r>
              <w:rPr>
                <w:vertAlign w:val="superscript"/>
              </w:rPr>
              <w:t xml:space="preserve">(1)</w:t>
            </w:r>
          </w:p>
        </w:tc>
      </w:tr>
      <w:tr>
        <w:tc>
          <w:tcPr/>
          <w:p>
            <w:pPr>
              <w:pStyle w:val="kar_table_cell"/>
            </w:pPr>
            <w:r>
              <w:t xml:space="preserve">Jefferson County</w:t>
            </w:r>
          </w:p>
        </w:tc>
        <w:tc>
          <w:tcPr/>
          <w:p>
            <w:pPr>
              <w:pStyle w:val="kar_table_cell"/>
            </w:pPr>
            <w:r>
              <w:t xml:space="preserve">Attainment</w:t>
            </w:r>
            <w:r>
              <w:rPr>
                <w:vertAlign w:val="superscript"/>
              </w:rPr>
              <w:t xml:space="preserve">(1)</w:t>
            </w:r>
          </w:p>
        </w:tc>
      </w:tr>
      <w:tr>
        <w:tc>
          <w:tcPr/>
          <w:p>
            <w:pPr>
              <w:pStyle w:val="kar_table_cell"/>
            </w:pPr>
            <w:r>
              <w:t xml:space="preserve">Kenton County</w:t>
            </w:r>
          </w:p>
        </w:tc>
        <w:tc>
          <w:tcPr/>
          <w:p>
            <w:pPr>
              <w:pStyle w:val="kar_table_cell"/>
            </w:pPr>
            <w:r>
              <w:t xml:space="preserve">Attainment</w:t>
            </w:r>
            <w:r>
              <w:rPr>
                <w:vertAlign w:val="superscript"/>
              </w:rPr>
              <w:t xml:space="preserve">(1)</w:t>
            </w:r>
          </w:p>
        </w:tc>
      </w:tr>
      <w:tr>
        <w:tc>
          <w:tcPr/>
          <w:p>
            <w:pPr>
              <w:pStyle w:val="kar_table_cell"/>
            </w:pPr>
            <w:r>
              <w:t xml:space="preserve">Oldham County</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(3)</w:t>
      </w:r>
      <w:r>
        <w:t xml:space="preserve"> </w:t>
      </w:r>
      <w:r>
        <w:t xml:space="preserve">2008 Eight (8)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 (part)</w:t>
            </w:r>
            <w:r>
              <w:t xml:space="preserve">2000 Census tracts: 701, 702, 703.01, 703.04, 703.05, 703.06, 703.07, 703.08, 703.09, 704.01, 704.02, 705.01, 705.02, 706.03</w:t>
            </w:r>
          </w:p>
        </w:tc>
        <w:tc>
          <w:tcPr/>
          <w:p>
            <w:pPr>
              <w:pStyle w:val="kar_table_cell"/>
            </w:pPr>
            <w:r>
              <w:t xml:space="preserve">Attainment</w:t>
            </w:r>
            <w:r>
              <w:rPr>
                <w:vertAlign w:val="superscript"/>
              </w:rPr>
              <w:t xml:space="preserve">(1)</w:t>
            </w:r>
          </w:p>
        </w:tc>
      </w:tr>
      <w:tr>
        <w:tc>
          <w:tcPr/>
          <w:p>
            <w:pPr>
              <w:pStyle w:val="kar_table_cell"/>
            </w:pPr>
            <w:r>
              <w:t xml:space="preserve">Campbell County (part)</w:t>
            </w:r>
            <w:r>
              <w:t xml:space="preserve">2000 Census tracts: 501, 502, 503, 504, 505, 506, 511.01, 511.02, 512, 513, 519.01, 519.03, 519.04, 521, 522, 523.01, 523.02, 524, 525, 526, 528, 529, 530, 531</w:t>
            </w:r>
          </w:p>
        </w:tc>
        <w:tc>
          <w:tcPr/>
          <w:p>
            <w:pPr>
              <w:pStyle w:val="kar_table_cell"/>
            </w:pPr>
            <w:r>
              <w:t xml:space="preserve">Attainment</w:t>
            </w:r>
            <w:r>
              <w:rPr>
                <w:vertAlign w:val="superscript"/>
              </w:rPr>
              <w:t xml:space="preserve">(1)</w:t>
            </w:r>
          </w:p>
        </w:tc>
      </w:tr>
      <w:tr>
        <w:tc>
          <w:tcPr/>
          <w:p>
            <w:pPr>
              <w:pStyle w:val="kar_table_cell"/>
            </w:pPr>
            <w:r>
              <w:t xml:space="preserve">Kenton County (part)</w:t>
            </w:r>
            <w:r>
              <w:t xml:space="preserve">2000 Census tracts: 603, 607, 609, 610, 611, 612, 613, 614, 616, 636.03, 636.04, 636.05, 636.06, 638, 640, 641, 642, 643, 644, 645, 646, 647, 648, 649, 650, 651, 652, 653, 654, 655.01, 655.02, 656, 657, 658, 659, 668, 669, 670, 671</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w:t>
            </w:r>
            <w:r>
              <w:t xml:space="preserv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(4)</w:t>
      </w:r>
      <w:r>
        <w:t xml:space="preserve"> </w:t>
      </w:r>
      <w:r>
        <w:t xml:space="preserve">2015 Eight (8) Hour Primary and Secondary Standard:</w:t>
      </w:r>
    </w:p>
    <w:tbl>
      <w:tblPr>
        <w:tblStyle w:val="kar_table"/>
        <w:tblW w:w="0" w:type="auto"/>
      </w:tblPr>
      <w:tblGrid>
        <w:gridCol w:w="1"/>
        <w:gridCol w:w="1"/>
        <w:gridCol w:w="1"/>
      </w:tblGrid>
      <w:tr>
        <w:tc>
          <w:tcPr/>
          <w:p>
            <w:pPr>
              <w:pStyle w:val="kar_table_cell"/>
            </w:pPr>
            <w:r>
              <w:t xml:space="preserve">Designated Area</w:t>
            </w:r>
          </w:p>
        </w:tc>
        <w:tc>
          <w:tcPr/>
          <w:p>
            <w:pPr>
              <w:pStyle w:val="kar_table_cell"/>
            </w:pPr>
            <w:r>
              <w:t xml:space="preserve">Designation Type</w:t>
            </w:r>
          </w:p>
        </w:tc>
        <w:tc>
          <w:tcPr/>
          <w:p>
            <w:pPr>
              <w:pStyle w:val="kar_table_cell"/>
            </w:pPr>
            <w:r>
              <w:t xml:space="preserve">Classification</w:t>
            </w:r>
          </w:p>
        </w:tc>
      </w:tr>
      <w:tr>
        <w:tc>
          <w:tcPr/>
          <w:p>
            <w:pPr>
              <w:pStyle w:val="kar_table_cell"/>
            </w:pPr>
            <w:r>
              <w:t xml:space="preserve">Boone County (part)</w:t>
            </w:r>
            <w:r>
              <w:t xml:space="preserve">The entire county except for 2010 U.S. Census Tracts 706.01 and 706.04</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Bullitt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Campbell County (part)</w:t>
            </w:r>
            <w:r>
              <w:t xml:space="preserve">The entire county except for 2010 U.S. Census Tracts 520.01 and 520.02</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Jefferson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Kenton County (part)</w:t>
            </w:r>
            <w:r>
              <w:t xml:space="preserve">The entire county except for 2010 U.S. Census Tracts 637.01 and 637.02</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Oldham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Rest of state</w:t>
            </w:r>
          </w:p>
        </w:tc>
        <w:tc>
          <w:tcPr/>
          <w:p>
            <w:pPr>
              <w:pStyle w:val="kar_table_cell"/>
            </w:pPr>
            <w:r>
              <w:t xml:space="preserve">Attainment/Unclassifiable</w:t>
            </w:r>
          </w:p>
        </w:tc>
        <w:tc>
          <w:tcPr/>
          <w:p>
            <w:pPr>
              <w:pStyle w:val="kar_table_cell"/>
            </w:pPr>
            <w:r>
              <w:t xml:space="preserve"> </w:t>
            </w:r>
          </w:p>
        </w:tc>
      </w:tr>
    </w:tbl>
    <w:p>
      <w:pPr>
        <w:pStyle w:val="kar_section"/>
      </w:pPr>
      <w:r>
        <w:t xml:space="preserve">Section 8.</w:t>
      </w:r>
      <w:r>
        <w:t xml:space="preserve"> </w:t>
      </w:r>
      <w:r>
        <w:t xml:space="preserve">Attainment Status Designations for PM</w:t>
      </w:r>
      <w:r>
        <w:rPr>
          <w:vertAlign w:val="subscript"/>
        </w:rPr>
        <w:t xml:space="preserve">2.5</w:t>
      </w:r>
      <w:r>
        <w:t xml:space="preserve">.</w:t>
      </w:r>
    </w:p>
    <w:p>
      <w:pPr>
        <w:pStyle w:val="kar_subsection"/>
      </w:pPr>
      <w:r>
        <w:t xml:space="preserve">(1)</w:t>
      </w:r>
      <w:r>
        <w:t xml:space="preserve"> </w:t>
      </w:r>
      <w:r>
        <w:t xml:space="preserve">1997 Annual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w:t>
            </w:r>
          </w:p>
        </w:tc>
        <w:tc>
          <w:tcPr/>
          <w:p>
            <w:pPr>
              <w:pStyle w:val="kar_table_cell"/>
            </w:pPr>
            <w:r>
              <w:t xml:space="preserve">Attainment</w:t>
            </w:r>
            <w:r>
              <w:rPr>
                <w:vertAlign w:val="superscript"/>
              </w:rPr>
              <w:t xml:space="preserve">(1)</w:t>
            </w:r>
          </w:p>
        </w:tc>
      </w:tr>
      <w:tr>
        <w:tc>
          <w:tcPr/>
          <w:p>
            <w:pPr>
              <w:pStyle w:val="kar_table_cell"/>
            </w:pPr>
            <w:r>
              <w:t xml:space="preserve">Boyd County</w:t>
            </w:r>
          </w:p>
        </w:tc>
        <w:tc>
          <w:tcPr/>
          <w:p>
            <w:pPr>
              <w:pStyle w:val="kar_table_cell"/>
            </w:pPr>
            <w:r>
              <w:t xml:space="preserve">Attainment</w:t>
            </w:r>
            <w:r>
              <w:rPr>
                <w:vertAlign w:val="superscript"/>
              </w:rPr>
              <w:t xml:space="preserve">(1)</w:t>
            </w:r>
          </w:p>
        </w:tc>
      </w:tr>
      <w:tr>
        <w:tc>
          <w:tcPr/>
          <w:p>
            <w:pPr>
              <w:pStyle w:val="kar_table_cell"/>
            </w:pPr>
            <w:r>
              <w:t xml:space="preserve">Bullitt County</w:t>
            </w:r>
          </w:p>
        </w:tc>
        <w:tc>
          <w:tcPr/>
          <w:p>
            <w:pPr>
              <w:pStyle w:val="kar_table_cell"/>
            </w:pPr>
            <w:r>
              <w:t xml:space="preserve">Attainment</w:t>
            </w:r>
            <w:r>
              <w:rPr>
                <w:vertAlign w:val="superscript"/>
              </w:rPr>
              <w:t xml:space="preserve">(1)</w:t>
            </w:r>
          </w:p>
        </w:tc>
      </w:tr>
      <w:tr>
        <w:tc>
          <w:tcPr/>
          <w:p>
            <w:pPr>
              <w:pStyle w:val="kar_table_cell"/>
            </w:pPr>
            <w:r>
              <w:t xml:space="preserve">Campbell County</w:t>
            </w:r>
          </w:p>
        </w:tc>
        <w:tc>
          <w:tcPr/>
          <w:p>
            <w:pPr>
              <w:pStyle w:val="kar_table_cell"/>
            </w:pPr>
            <w:r>
              <w:t xml:space="preserve">Attainment</w:t>
            </w:r>
            <w:r>
              <w:rPr>
                <w:vertAlign w:val="superscript"/>
              </w:rPr>
              <w:t xml:space="preserve">(1)</w:t>
            </w:r>
          </w:p>
        </w:tc>
      </w:tr>
      <w:tr>
        <w:tc>
          <w:tcPr/>
          <w:p>
            <w:pPr>
              <w:pStyle w:val="kar_table_cell"/>
            </w:pPr>
            <w:r>
              <w:t xml:space="preserve">Jefferson County</w:t>
            </w:r>
          </w:p>
        </w:tc>
        <w:tc>
          <w:tcPr/>
          <w:p>
            <w:pPr>
              <w:pStyle w:val="kar_table_cell"/>
            </w:pPr>
            <w:r>
              <w:t xml:space="preserve">Attainment</w:t>
            </w:r>
            <w:r>
              <w:rPr>
                <w:vertAlign w:val="superscript"/>
              </w:rPr>
              <w:t xml:space="preserve">(1)</w:t>
            </w:r>
          </w:p>
        </w:tc>
      </w:tr>
      <w:tr>
        <w:tc>
          <w:tcPr/>
          <w:p>
            <w:pPr>
              <w:pStyle w:val="kar_table_cell"/>
            </w:pPr>
            <w:r>
              <w:t xml:space="preserve">Kenton County</w:t>
            </w:r>
          </w:p>
        </w:tc>
        <w:tc>
          <w:tcPr/>
          <w:p>
            <w:pPr>
              <w:pStyle w:val="kar_table_cell"/>
            </w:pPr>
            <w:r>
              <w:t xml:space="preserve">Attainment</w:t>
            </w:r>
            <w:r>
              <w:rPr>
                <w:vertAlign w:val="superscript"/>
              </w:rPr>
              <w:t xml:space="preserve">(1)</w:t>
            </w:r>
          </w:p>
        </w:tc>
      </w:tr>
      <w:tr>
        <w:tc>
          <w:tcPr/>
          <w:p>
            <w:pPr>
              <w:pStyle w:val="kar_table_cell"/>
            </w:pPr>
            <w:r>
              <w:t xml:space="preserve">Lawrence County (part)</w:t>
            </w:r>
            <w:r>
              <w:t xml:space="preserve">The area described by U.S. Census 2000 block group identifier 21-127-9901-6</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w:t>
            </w:r>
            <w:r>
              <w:t xml:space="preserv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(2)</w:t>
      </w:r>
      <w:r>
        <w:t xml:space="preserve"> </w:t>
      </w:r>
      <w:r>
        <w:t xml:space="preserve">2012 Annual Primary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ubsection"/>
      </w:pPr>
      <w:r>
        <w:t xml:space="preserve">(3)</w:t>
      </w:r>
      <w:r>
        <w:t xml:space="preserve"> </w:t>
      </w:r>
      <w:r>
        <w:t xml:space="preserve">1997 Twenty-four (24)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ubsection"/>
      </w:pPr>
      <w:r>
        <w:t xml:space="preserve">(4)</w:t>
      </w:r>
      <w:r>
        <w:t xml:space="preserve"> </w:t>
      </w:r>
      <w:r>
        <w:t xml:space="preserve">2006 Twenty-four (24)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9.</w:t>
      </w:r>
      <w:r>
        <w:t xml:space="preserve"> </w:t>
      </w:r>
      <w:r>
        <w:t xml:space="preserve">Attainment Status Designations for Sulfur Dioxide (SO</w:t>
      </w:r>
      <w:r>
        <w:rPr>
          <w:vertAlign w:val="subscript"/>
        </w:rPr>
        <w:t xml:space="preserve">2</w:t>
      </w:r>
      <w:r>
        <w:t xml:space="preserve">).</w:t>
      </w:r>
    </w:p>
    <w:p>
      <w:pPr>
        <w:pStyle w:val="kar_subsection"/>
      </w:pPr>
      <w:r>
        <w:t xml:space="preserve">(1)</w:t>
      </w:r>
      <w:r>
        <w:t xml:space="preserve"> </w:t>
      </w:r>
      <w:r>
        <w:t xml:space="preserve">1971 Primary and Secondary Standard:</w:t>
      </w:r>
    </w:p>
    <w:tbl>
      <w:tblPr>
        <w:tblStyle w:val="kar_table"/>
        <w:tblW w:w="0" w:type="auto"/>
      </w:tblPr>
      <w:tblGrid>
        <w:gridCol w:w="1"/>
        <w:gridCol w:w="1"/>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Does Not Meet Secondary Standards</w:t>
            </w:r>
          </w:p>
        </w:tc>
        <w:tc>
          <w:tcPr/>
          <w:p>
            <w:pPr>
              <w:pStyle w:val="kar_table_cell"/>
            </w:pPr>
            <w:r>
              <w:t xml:space="preserve">Cannot Be Classified</w:t>
            </w:r>
          </w:p>
        </w:tc>
        <w:tc>
          <w:tcPr/>
          <w:p>
            <w:pPr>
              <w:pStyle w:val="kar_table_cell"/>
            </w:pPr>
            <w:r>
              <w:t xml:space="preserve">Better Than National Standards</w:t>
            </w:r>
          </w:p>
        </w:tc>
      </w:tr>
      <w:tr>
        <w:tc>
          <w:tcPr/>
          <w:p>
            <w:pPr>
              <w:pStyle w:val="kar_table_cell"/>
            </w:pPr>
            <w:r>
              <w:t xml:space="preserve">Statewide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bl>
    <w:p>
      <w:pPr>
        <w:pStyle w:val="kar_subsection"/>
      </w:pPr>
      <w:r>
        <w:t xml:space="preserve">(2)</w:t>
      </w:r>
      <w:r>
        <w:t xml:space="preserve"> </w:t>
      </w:r>
      <w:r>
        <w:t xml:space="preserve">2010 Primary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Designated Type</w:t>
            </w:r>
          </w:p>
        </w:tc>
      </w:tr>
      <w:tr>
        <w:tc>
          <w:tcPr/>
          <w:p>
            <w:pPr>
              <w:pStyle w:val="kar_table_cell"/>
            </w:pPr>
            <w:r>
              <w:t xml:space="preserve">Campbell County (part)</w:t>
            </w:r>
            <w:r>
              <w:t xml:space="preserve">That portion of Campbell County which lies south and west of the Ohio River described as follows: Beginning at geographic coordinates 38.9735 North Latitude, 84.3017 West Longitude on the edge of the Ohio River running southwesterly to Kentucky Highway 1566; thence continuing running southwesterly along Kentucky Highway 1566 to Kentucky Highway 9 (AA Highway); thence running northwesterly along Kentucky Highway 9 (AA Highway) from Hwy 1566 to Interstate 275; thence running northeasterly along Interstate 275 to Highway 2345 (John's Hill Road), Hwy 2345 to US-27, US-27 to I-275, I-275 to the Ohio River; thence running southeasterly along the Ohio River from I-275 to geographic coordinates 38.9735 North Latitude, 84.3017 West Longitude</w:t>
            </w:r>
          </w:p>
        </w:tc>
        <w:tc>
          <w:tcPr/>
          <w:p>
            <w:pPr>
              <w:pStyle w:val="kar_table_cell"/>
            </w:pPr>
            <w:r>
              <w:t xml:space="preserve">Attainment</w:t>
            </w:r>
            <w:r>
              <w:rPr>
                <w:vertAlign w:val="superscript"/>
              </w:rPr>
              <w:t xml:space="preserve">(1)</w:t>
            </w:r>
          </w:p>
        </w:tc>
      </w:tr>
      <w:tr>
        <w:tc>
          <w:tcPr/>
          <w:p>
            <w:pPr>
              <w:pStyle w:val="kar_table_cell"/>
            </w:pPr>
            <w:r>
              <w:t xml:space="preserve">Henderson-Webster Counties, KY</w:t>
            </w:r>
            <w:r>
              <w:t xml:space="preserve">Henderson County (part).</w:t>
            </w:r>
            <w:r>
              <w:t xml:space="preserve">Webster County (part).</w:t>
            </w:r>
            <w:r>
              <w:t xml:space="preserve">That portion of Henderson and Webster Counties encompassed by the polygon with the 48 vertices using Universal Traverse Mercator (UTM) coordinates of North American Datum 1983 (NAD83) as follows: (1) Kentucky 520, Upper Delaware Rd to the Green River boundary at 463979.00 Easting (E), 4171000.03 Northing (N); (2) The Green River boundary to JZ Shelton Rd 459058.03 E, 4160832.96 N; (3) JZ Shelton Rd to Kentucky 370 457811.00 E, 4159192.96, N; (4) Kentucky 370 to Pennyrile Parkway I–69 457089.96 E, 4159452.95 N; (5) Pennyrile Parkway I–69 to Sassafras Grove Rd 457675.35 E, 4156244.55 N; (6) Sassafras Grove Rd to US 41 456236.68 E, 4156125.75 N; (7) US 41 to Slaughters Elmwood Rd 457442.82 E, 4153425.68 N; (8) Slaughters Elmwood Rd to Railroad Track (NW) 456589.41 E, 4153424.43 N; (9) Railroad Track (NW) to Breton Rd 453677.09 E, 4155992.29 N; (10) Breton Rd to Kentucky 1835 453079.74 E, 4154924.00 N; (11) Kentucky 1835 to Kentucky 138 450702.89 E, 4153141.51 N; (12) Kentucky 138 to Crowder Rd 452587.06 E, 4152032.38 N; (13) Crowder Rd to Kentucky 120 453030.14 E, 4149175.08 N; (14) Kentucky 120 to Gooch Jones Rd 447528.25 E, 4147663.88 N; (15) Gooch Jones Rd to John Roach Rd 446551.75 E, 4150042.51 N; (16) John Roach Rd to Old Dixon Slaughters Rd 447462.17 E, 4151329.04 N; (17) Old Dixon Slaughters Rd to Old Dixon Rd 446532.28 E, 4152143.23 N; (18) Old Dixon Rd to Kentucky 138 446849.49 E, 4152437.09 N; (19) Kentucky 138 to Carnel Brooks Rd 450196.38 E, 4153305.18 N; (20) Carnel Brooks Rd to Rakestraw Bottoms Rd 450079.34 E, 4154326.39 N; (21) Rakestraw Bottoms Rd to Kentucky 132 447141.40 E, 4157145.04 N; (22) Kentucky 132 to Kentucky 283 444025.55 E, 4156172.90 N; (23) Kentucky 283 to Beckley Osbourne Rd 444300.82 E, 4158111.35 N; (24) Beckley Osbourne Rd to Dixon Wanamaker Rd 442067.07 E, 4158641.90 N; (25) Dixon Wanamaker Rd to Kentucky 191 441887.88 E, 4161614.33 N; (26) Kentucky 191 to D Melton Rd 442743.25 E, 4161250.11 N; (27) D Melton Rd to Knoblick Creek Rd 443688.82 E, 4162093.08 N; (28) Knoblick Creek Rd to US 41A 442319.35 E, 4163220.45 N; (29) US 41A to Dixon 1 Rd 443500.62 E, 4170518.52 N; (30) Dixon 1 Rd to GF Sights Rd 443094.58 E, 4170166.59 N; (31) GF Sights Rd to Cairo Dixie Rd 441341.46 E, 4170978.60 N; (32) Cairo Dixie Rd to Liles Cairo Rd 442919.00 E, 4173140.24 N; (33) Liles Cairo Rd to US 41A 443124.23 E, 4173204.51 N; (34) US 41A to Cairo Hickory Grove Rd 442860.28 E, 4174017.18 N; (35) Cairo Hickory Grove Rd to Pruitt Agnew Rd 446056.06 E, 4175740.98 N; (36) Pruitt Agnew Rd to Kentucky 1299 447662.11 E, 4180049.93 N; (37) Kentucky 1299 to Anthoston Frog Island Rd 448905.37 E, 4176327.31 N; (38) Anthoston Frog Island Rd to Kentucky 136 452613.63 E, 4179047.02 N; (39) Kentucky 136 to Upper Delaware Rd 454451.59 E, 4177687.26 N; (40) Upper Delaware Rd to Barren Church Rd S 456153.23 E, 4177723.20 N; (41) Barren Church Rd S to Barren Church Rd N 457912.85 E, 4180247.83 N; (42) Barren Church Rd N to Kentucky 1078 458542.52 E, 4181615.55 N; (43) Kentucky 1078 to Jones Brothers Rd 461322.00 E, 4179952.85 N; (44) Jones Brothers Rd to Kentucky 416 461209.84 E, 4177755.55 N; (45) Kentucky 416 to Kentucky 1078 463492.08 E, 4178026.50 N; (46) Kentucky 1078 to Onionville Rd 464177.31 E, 4177054.13 N; (47) Onionville Rd to Work Road 465476.34 E, 4176076.78 N; (48) Work Road to Upper Delaware Rd 462529.15 E, 4173036.52 N.</w:t>
            </w:r>
          </w:p>
        </w:tc>
        <w:tc>
          <w:tcPr/>
          <w:p>
            <w:pPr>
              <w:pStyle w:val="kar_table_cell"/>
            </w:pPr>
            <w:r>
              <w:t xml:space="preserve">Nonattainment</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p>
        </w:tc>
      </w:tr>
      <w:tr>
        <w:tc>
          <w:tcPr/>
          <w:p>
            <w:pPr>
              <w:pStyle w:val="kar_table_cell"/>
            </w:pPr>
            <w:r>
              <w:t xml:space="preserve">Jefferson County (part)</w:t>
            </w:r>
            <w:r>
              <w:t xml:space="preserve">That portion of Jefferson County compassed by the polygon with the vertices using Universal Traverse Mercator (UTM) coordinates in UTM zone 16 with datum NAD83:</w:t>
            </w:r>
            <w:r>
              <w:t xml:space="preserve">Ethan Allen Way extended to the Ohio River at UTM Easting (m) 595738, UTM Northing 4214086 and Dixie Highway (US60 and US31W) at UTM Easting (m) 597515, UTM Northing 4212946; Along Dixie Highway from UTM Easting (m) 597515, UTM Northing 4212946 to UTM Easting (m) 595859, UTM Northing 4210678; Near the adjacent property lines of Louisville Gas and Electric-Mill Creek Electric Generating Station and Kosmos Cement where they join Dixie Highway at UTM Easting (m) 595859, UTM Northing 4210678 and the Ohio River at UTM Easting (m) 595326, UTM Northing 4211014; Along the Ohio River from UTM Easting (m) 595326, UTM Northing 4211014 to UTM Easting (m) 595738, UTM Northing 4214086</w:t>
            </w:r>
          </w:p>
        </w:tc>
        <w:tc>
          <w:tcPr/>
          <w:p>
            <w:pPr>
              <w:pStyle w:val="kar_table_cell"/>
            </w:pPr>
            <w:r>
              <w:t xml:space="preserve">Attainment</w:t>
            </w:r>
            <w:r>
              <w:rPr>
                <w:vertAlign w:val="superscript"/>
              </w:rPr>
              <w:t xml:space="preserve">(1)</w:t>
            </w:r>
          </w:p>
        </w:tc>
      </w:tr>
      <w:tr>
        <w:tc>
          <w:tcPr/>
          <w:p>
            <w:pPr>
              <w:pStyle w:val="kar_table_cell"/>
            </w:pPr>
            <w:r>
              <w:t xml:space="preserve">Ohio County</w:t>
            </w:r>
          </w:p>
        </w:tc>
        <w:tc>
          <w:tcPr/>
          <w:p>
            <w:pPr>
              <w:pStyle w:val="kar_table_cell"/>
            </w:pPr>
            <w:r>
              <w:t xml:space="preserve">Unclassifiable</w:t>
            </w:r>
          </w:p>
        </w:tc>
      </w:tr>
      <w:tr>
        <w:tc>
          <w:tcPr/>
          <w:p>
            <w:pPr>
              <w:pStyle w:val="kar_table_cell"/>
            </w:pPr>
            <w:r>
              <w:t xml:space="preserve">Pulaski County</w:t>
            </w:r>
          </w:p>
        </w:tc>
        <w:tc>
          <w:tcPr/>
          <w:p>
            <w:pPr>
              <w:pStyle w:val="kar_table_cell"/>
            </w:pPr>
            <w:r>
              <w:t xml:space="preserve">Unclassifiable</w:t>
            </w:r>
          </w:p>
        </w:tc>
      </w:tr>
      <w:tr>
        <w:tc>
          <w:tcPr/>
          <w:p>
            <w:pPr>
              <w:pStyle w:val="kar_table_cell"/>
            </w:pPr>
            <w:r>
              <w:t xml:space="preserve">Rest of state</w:t>
            </w:r>
          </w:p>
        </w:tc>
        <w:tc>
          <w:tcPr/>
          <w:p>
            <w:pPr>
              <w:pStyle w:val="kar_table_cell"/>
            </w:pPr>
            <w:r>
              <w:t xml:space="preserve">Attainment/</w:t>
            </w:r>
            <w:r>
              <w:t xml:space="preserve">Unclassifiable</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   </w:t>
        <w:br/>
      </w:r>
      <w:r>
        <w:t xml:space="preserve">   </w:t>
        <w:br/>
      </w:r>
      <w:r>
        <w:t xml:space="preserve"> </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10.</w:t>
      </w:r>
      <w:r>
        <w:t xml:space="preserve"> </w:t>
      </w:r>
      <w:r>
        <w:t xml:space="preserve">Attainment Status Designations for Total Suspended Particulates (TSP). 1971 Standard:</w:t>
      </w:r>
    </w:p>
    <w:tbl>
      <w:tblPr>
        <w:tblStyle w:val="kar_table"/>
        <w:tblW w:w="0" w:type="auto"/>
      </w:tblPr>
      <w:tblGrid>
        <w:gridCol w:w="1"/>
        <w:gridCol w:w="1"/>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Does Not Meet Secondary Standards</w:t>
            </w:r>
          </w:p>
        </w:tc>
        <w:tc>
          <w:tcPr/>
          <w:p>
            <w:pPr>
              <w:pStyle w:val="kar_table_cell"/>
            </w:pPr>
            <w:r>
              <w:t xml:space="preserve">Cannot Be Classified</w:t>
            </w:r>
          </w:p>
        </w:tc>
        <w:tc>
          <w:tcPr/>
          <w:p>
            <w:pPr>
              <w:pStyle w:val="kar_table_cell"/>
            </w:pPr>
            <w:r>
              <w:t xml:space="preserve">Better Than National Standards</w:t>
            </w:r>
          </w:p>
        </w:tc>
      </w:tr>
      <w:tr>
        <w:tc>
          <w:tcPr/>
          <w:p>
            <w:pPr>
              <w:pStyle w:val="kar_table_cell"/>
            </w:pPr>
            <w:r>
              <w:t xml:space="preserve">Bell County</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Boyd County</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That portion of Bullitt County in Shepherdsville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That portion of Campbell County in Newport</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That portion of Daviess County in Owensboro bordered by the Ohio River on the north, by Frederica Street projected to the river on the west, by Fourth Street and U.S. 60 on the south, and by the Beltline (KY 212) projected to the river on the east</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That portion of Henderson County in Henderson</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Jefferson County</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That portion of Lawrence County in Louisa</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McCracken County</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That portion of Madison County in Richmond</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Marshall County</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Muhlenberg County</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That portion of Perry County in Hazard</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That portion of Pike County in Pikeville</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That portion of Whitley County in Corbin</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Rest of state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bl>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e87a96d5a54219" /><Relationship Type="http://schemas.openxmlformats.org/officeDocument/2006/relationships/settings" Target="/word/settings.xml" Id="R352ee1ad75674371" /></Relationships>
</file>