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87893144441c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900 KAR 5:020E.</w:t>
      </w:r>
    </w:p>
    <w:p>
      <w:pPr>
        <w:pStyle w:val="kar_normal"/>
      </w:pPr>
      <w:r>
        <w:t xml:space="preserve">This emergency administrative regulation is necessary to update the State Health Plan to increase access to diagnostic cardiac catheterization procedures; increase access to Level III neonatal intensive care unit beds; and, consistent with changes in 900 KAR 6:075E filed concurrent with this regulation, grant nonsubstantive review status to certificate of need applications submitted by licensed health facilities: (1) seeking to establish a Class I ground ambulance service to provide nonemergency transport of individuals who are patients of the licensed health facility or a health facility under common ownership and the applicant agrees to the placement of certain restrictions on its proposed certificate of need and ground ambulance license; or (2) seeking to transfer acute care beds to a new facility in the same county if certain criteria are met. This emergency administrative regulation is deemed to be an emergency pursuant to KRS 13A.190(1)(a)1. in order to meet an imminent threat to public health, safety, and welfare. The State Health Plan was not updated with substantive changes to the review criteria during 2020 or 2021 due to the uncertainty created by the COVID-19 pandemic. The pandemic has significantly impacted and strained Kentucky's healthcare system in unexpected ways. Updated changes to the State Health Plan are needed to immediately help promote access to healthcare across the state and to maintain consistency with the companion regulation filed concurrently, 900 KAR 6:075E, addressing nonsubstantive review of certificate of need applications. This emergency administrative regulation will be replaced by an ordinary administrative regulation in an effort to promote greater access to care across Kentucky, help provide relief to the commonwealth's overburdened healthcare systems, and help prevent ongoing delays in nonemergency ambulance transportation.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(Emergency Amendment)</w:t>
      </w:r>
    </w:p>
    <w:p>
      <w:pPr>
        <w:pStyle w:val="kar_citation"/>
      </w:pPr>
      <w:r>
        <w:t>900 KAR 5:020E.</w:t>
      </w:r>
      <w:r>
        <w:t xml:space="preserve"> </w:t>
      </w:r>
      <w:r>
        <w:t xml:space="preserve">State Health Plan for facilities and services.</w:t>
      </w:r>
    </w:p>
    <w:p>
      <w:pPr>
        <w:pStyle w:val="kar_markup_metadata"/>
      </w:pPr>
      <w:r>
        <w:t xml:space="preserve">EFFECTIVE: January 27, 2022</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w:t>
      </w:r>
      <w:r>
        <w:t>[</w:t>
      </w:r>
      <w:r>
        <w:rPr>
          <w:strike w:val="true"/>
        </w:rPr>
        <w:t xml:space="preserve">2020-2022</w:t>
      </w:r>
      <w:r>
        <w:t>]</w:t>
      </w:r>
      <w:r>
        <w:t xml:space="preserv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2022 Update to the</w:t>
      </w:r>
      <w:r>
        <w:t>[</w:t>
      </w:r>
      <w:r>
        <w:rPr>
          <w:strike w:val="true"/>
        </w:rPr>
        <w:t xml:space="preserve">2020-2022</w:t>
      </w:r>
      <w:r>
        <w:t>]</w:t>
      </w:r>
      <w:r>
        <w:t xml:space="preserve"> State Health Plan", </w:t>
      </w:r>
      <w:r>
        <w:rPr>
          <w:u w:val="single"/>
        </w:rPr>
        <w:t xml:space="preserve">January 2022</w:t>
      </w:r>
      <w:r>
        <w:t>[</w:t>
      </w:r>
      <w:r>
        <w:rPr>
          <w:strike w:val="true"/>
        </w:rPr>
        <w:t xml:space="preserve">August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w:t>
      </w:r>
      <w:r>
        <w:rPr>
          <w:u w:val="single"/>
        </w:rPr>
        <w:t xml:space="preserve">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2022 Update to the State Health Plan.</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 Updates the title and edition date of the SHP on page i of the Plan; - Updates the page numbers listed in the Table of Contents on page ii to align with the new changes to the SHP; - Updates the title of the SHP on page iii of the Plan under the heading “Purpose”; - Adds new language to the review criteria on pages 2 and 3 to allow acute care hospitals to transfer existing acute care beds to a new hospital under common ownership if: the hospitals are located within the same county; the existing hospital’s overall rating by the Centers for Medicare and Medicaid Services Hospital Compare was three (3) stars or higher for three (3) of the last four (4) reported quarters preceding the date the application was filed; and no more than fifty (50) percent of the existing hospital’s acute care beds are transferred to the new facility. This change aligns with the proposed amendment of 900 KAR 6:075, Section 2(3)(e), filed concurrently with this administrative regulation to grant nonsubstantive review status to certificate of need applications for acute care hospitals that wish to transfer existing acute care beds to a new facility as described above; - Adds new language to the review criteria on page 15 to allow hospitals to convert existing Level II special care neonatal beds to Level III special care neonatal beds; - Revises the language of the review criteria on page 40 to clarify that the addition of a cardiac catheterization program at a hospital shall be based on the existing program’s utilization, rather than a specific laboratory’s utilization; and - Adds new language to the review criteria on page 52 to align with the proposed amendment of 900 KAR 6:075, Section 2(3)(d), filed concurrently with this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address updates to the State Health Plan as required by KRS 216B.015(28).</w:t>
      </w:r>
    </w:p>
    <w:p>
      <w:pPr>
        <w:pStyle w:val="kar_normal"/>
        <w:ind w:left="576"/>
      </w:pPr>
      <w:r>
        <w:t xml:space="preserve">(c) How the amendment conforms to the content of the authorizing statutes:</w:t>
      </w:r>
    </w:p>
    <w:p>
      <w:pPr>
        <w:pStyle w:val="kar_normal"/>
        <w:ind w:left="720"/>
      </w:pPr>
      <w:r>
        <w:t xml:space="preserve">This amendment conforms to the contend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70 certificate of need applications were submitted to the cabinet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9e46b9cf8f4761" /><Relationship Type="http://schemas.openxmlformats.org/officeDocument/2006/relationships/settings" Target="/word/settings.xml" Id="Rcaa10b000c3f4cad" /></Relationships>
</file>