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864a634d77484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(Amended at ARRS Committee)</w:t>
      </w:r>
    </w:p>
    <w:p>
      <w:pPr>
        <w:pStyle w:val="kar_citation"/>
      </w:pPr>
      <w:r>
        <w:t>806 KAR 17:590.</w:t>
      </w:r>
      <w:r>
        <w:t xml:space="preserve"> </w:t>
      </w:r>
      <w:r>
        <w:t xml:space="preserve">Annual report on providers prescribing medication for addiction treatment.</w:t>
      </w:r>
    </w:p>
    <w:p>
      <w:pPr>
        <w:pStyle w:val="kar_markup_metadata"/>
      </w:pPr>
      <w:r>
        <w:t xml:space="preserve">RELATES TO: </w:t>
      </w:r>
      <w:r>
        <w:t xml:space="preserve">KRS 304.1-050(1) 304.9-020, 304.9-055, 304.17A-005(29), </w:t>
      </w:r>
      <w:r>
        <w:t>[</w:t>
      </w:r>
      <w:r>
        <w:rPr>
          <w:b/>
          <w:i/>
          <w:strike w:val="true"/>
        </w:rPr>
        <w:t xml:space="preserve">304.17A-700,</w:t>
      </w:r>
      <w:r>
        <w:t>]</w:t>
      </w:r>
      <w:r>
        <w:t xml:space="preserve"> 304.17A-732</w:t>
      </w:r>
    </w:p>
    <w:p>
      <w:pPr>
        <w:pStyle w:val="kar_markup_metadata"/>
      </w:pPr>
      <w:r>
        <w:t xml:space="preserve">STATUTORY AUTHORITY: </w:t>
      </w:r>
      <w:r>
        <w:t xml:space="preserve">KRS 304.2-110, 304.17A-732</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304.17A-732 requires insurers to annually report to the commissioner the number and type of providers that have prescribed medication for addiction treatment to its insureds in conjunction with behavioral therapy and not in conjunction with behavioral therapy. This administrative regulation sets forth the format and submission time frame for the data reporting requirements in KRS 304.17A-732.</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in KRS 304.1-050(2).</w:t>
      </w:r>
    </w:p>
    <w:p>
      <w:pPr>
        <w:pStyle w:val="kar_subsection"/>
      </w:pPr>
      <w:r>
        <w:t xml:space="preserve">(3)</w:t>
      </w:r>
      <w:r>
        <w:t xml:space="preserve"> </w:t>
      </w:r>
      <w:r>
        <w:t xml:space="preserve">"Insurer" is defined by KRS 304.17A-005(29).</w:t>
      </w:r>
    </w:p>
    <w:p>
      <w:pPr>
        <w:pStyle w:val="kar_subsection"/>
      </w:pPr>
      <w:r>
        <w:t xml:space="preserve">(4)</w:t>
      </w:r>
      <w:r>
        <w:t xml:space="preserve"> </w:t>
      </w:r>
      <w:r>
        <w:t xml:space="preserve">"Medication for addiction treatment" means a prescription drug that:</w:t>
      </w:r>
    </w:p>
    <w:p>
      <w:pPr>
        <w:pStyle w:val="kar_paragraph"/>
      </w:pPr>
      <w:r>
        <w:t xml:space="preserve">(a)</w:t>
      </w:r>
      <w:r>
        <w:t xml:space="preserve"> </w:t>
      </w:r>
      <w:r>
        <w:t xml:space="preserve"> </w:t>
      </w:r>
    </w:p>
    <w:p>
      <w:pPr>
        <w:pStyle w:val="kar_subparagraph"/>
      </w:pPr>
      <w:r>
        <w:rPr>
          <w:b/>
          <w:i/>
          <w:u w:val="single"/>
        </w:rPr>
        <w:t xml:space="preserve">1.</w:t>
      </w:r>
      <w:r>
        <w:t xml:space="preserve"> </w:t>
      </w:r>
      <w:r>
        <w:t xml:space="preserve">Is prescribed for use in the treatment of alcohol or opioid addiction; and</w:t>
      </w:r>
    </w:p>
    <w:p>
      <w:pPr>
        <w:pStyle w:val="kar_subparagraph"/>
      </w:pPr>
      <w:r>
        <w:rPr>
          <w:b/>
          <w:i/>
          <w:u w:val="single"/>
        </w:rPr>
        <w:t xml:space="preserve">2.</w:t>
      </w:r>
      <w:r>
        <w:t>[</w:t>
      </w:r>
      <w:r>
        <w:rPr>
          <w:b/>
          <w:i/>
          <w:strike w:val="true"/>
        </w:rPr>
        <w:t xml:space="preserve">(b)</w:t>
      </w:r>
      <w:r>
        <w:t>]</w:t>
      </w:r>
      <w:r>
        <w:t xml:space="preserve"> </w:t>
      </w:r>
      <w:r>
        <w:t xml:space="preserve">Contains methadone, buprenorphine, or naltrexone; or</w:t>
      </w:r>
    </w:p>
    <w:p>
      <w:pPr>
        <w:pStyle w:val="kar_paragraph"/>
      </w:pPr>
      <w:r>
        <w:rPr>
          <w:b/>
          <w:i/>
          <w:u w:val="single"/>
        </w:rPr>
        <w:t xml:space="preserve">(b)</w:t>
      </w:r>
      <w:r>
        <w:t>[</w:t>
      </w:r>
      <w:r>
        <w:rPr>
          <w:b/>
          <w:i/>
          <w:strike w:val="true"/>
        </w:rPr>
        <w:t xml:space="preserve">(c)</w:t>
      </w:r>
      <w:r>
        <w:t>]</w:t>
      </w:r>
      <w:r>
        <w:t xml:space="preserve"> </w:t>
      </w:r>
      <w:r>
        <w:t xml:space="preserve">Was approved before January 1, 2022 by the United States Food and Drug Administration for the mitigation of opioid withdrawal symptoms.</w:t>
      </w:r>
    </w:p>
    <w:p>
      <w:pPr>
        <w:pStyle w:val="kar_subsection"/>
      </w:pPr>
      <w:r>
        <w:t xml:space="preserve">(5)</w:t>
      </w:r>
      <w:r>
        <w:t xml:space="preserve"> </w:t>
      </w:r>
      <w:r>
        <w:t xml:space="preserve">"Pharmacy Benefit Manager" is defined by KRS 304.9-020(15).</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 </w:t>
      </w:r>
    </w:p>
    <w:p>
      <w:pPr>
        <w:pStyle w:val="kar_paragraph"/>
      </w:pPr>
      <w:r>
        <w:t xml:space="preserve">(a)</w:t>
      </w:r>
      <w:r>
        <w:t xml:space="preserve"> </w:t>
      </w:r>
      <w:r>
        <w:t xml:space="preserve">An insurer authorized to write health insurance in this state shall submit the data required by the Pharmacy Claims Standardized Data Request to the commissioner by March 31st of each year. A pharmacy benefit manger paying pharmacy claims on behalf of an insurer may submit the data required by the Pharmacy Claims Standardized Data request to the commissioner on behalf of the insurer.</w:t>
      </w:r>
    </w:p>
    <w:p>
      <w:pPr>
        <w:pStyle w:val="kar_paragraph"/>
      </w:pPr>
      <w:r>
        <w:t xml:space="preserve">(b)</w:t>
      </w:r>
      <w:r>
        <w:t xml:space="preserve"> </w:t>
      </w:r>
      <w:r>
        <w:t xml:space="preserve">The data required by the Pharmacy Claims Standardized Data Request shall:</w:t>
      </w:r>
    </w:p>
    <w:p>
      <w:pPr>
        <w:pStyle w:val="kar_subparagraph"/>
      </w:pPr>
      <w:r>
        <w:t xml:space="preserve">1.</w:t>
      </w:r>
      <w:r>
        <w:t xml:space="preserve"> </w:t>
      </w:r>
      <w:r>
        <w:t xml:space="preserve">Be submitted in an electronic format prescribed by the Commissioner;</w:t>
      </w:r>
    </w:p>
    <w:p>
      <w:pPr>
        <w:pStyle w:val="kar_subparagraph"/>
      </w:pPr>
      <w:r>
        <w:t xml:space="preserve">2.</w:t>
      </w:r>
      <w:r>
        <w:t xml:space="preserve"> </w:t>
      </w:r>
      <w:r>
        <w:t xml:space="preserve">Contain the prescribed data elements and information in the order prescribed; and</w:t>
      </w:r>
    </w:p>
    <w:p>
      <w:pPr>
        <w:pStyle w:val="kar_subparagraph"/>
      </w:pPr>
      <w:r>
        <w:t xml:space="preserve">3.</w:t>
      </w:r>
      <w:r>
        <w:t xml:space="preserve"> </w:t>
      </w:r>
      <w:r>
        <w:t xml:space="preserve">Contain data for claims received in the prior calendar year for prescriptions for medication for addiction treatment.</w:t>
      </w:r>
    </w:p>
    <w:p>
      <w:pPr>
        <w:pStyle w:val="kar_subsection"/>
      </w:pPr>
      <w:r>
        <w:t xml:space="preserve">(2)</w:t>
      </w:r>
      <w:r>
        <w:t xml:space="preserve"> </w:t>
      </w:r>
      <w:r>
        <w:t xml:space="preserve"> </w:t>
      </w:r>
    </w:p>
    <w:p>
      <w:pPr>
        <w:pStyle w:val="kar_paragraph"/>
      </w:pPr>
      <w:r>
        <w:t xml:space="preserve">(a)</w:t>
      </w:r>
      <w:r>
        <w:t xml:space="preserve"> </w:t>
      </w:r>
      <w:r>
        <w:t xml:space="preserve">The Department shall generate and provide a Medical Claims Standardized Data Request to each insurer based on the data submitted pursuant to subsection (1) of this section.</w:t>
      </w:r>
    </w:p>
    <w:p>
      <w:pPr>
        <w:pStyle w:val="kar_paragraph"/>
      </w:pPr>
      <w:r>
        <w:t xml:space="preserve">(b)</w:t>
      </w:r>
      <w:r>
        <w:t xml:space="preserve"> </w:t>
      </w:r>
      <w:r>
        <w:t xml:space="preserve">An insurer shall submit the data required by the Medical Claims Standardized Data Request within sixty (60) days of the date it is provided to the insurer, as described in paragraph (a) of this Section.</w:t>
      </w:r>
    </w:p>
    <w:p>
      <w:pPr>
        <w:pStyle w:val="kar_paragraph"/>
      </w:pPr>
      <w:r>
        <w:t xml:space="preserve">(c)</w:t>
      </w:r>
      <w:r>
        <w:t xml:space="preserve"> </w:t>
      </w:r>
      <w:r>
        <w:t xml:space="preserve">The data required by the Medical Claims Standardized Data Request shall:</w:t>
      </w:r>
    </w:p>
    <w:p>
      <w:pPr>
        <w:pStyle w:val="kar_subparagraph"/>
      </w:pPr>
      <w:r>
        <w:t xml:space="preserve">1.</w:t>
      </w:r>
      <w:r>
        <w:t xml:space="preserve"> </w:t>
      </w:r>
      <w:r>
        <w:t xml:space="preserve">Be submitted in an electronic format;</w:t>
      </w:r>
    </w:p>
    <w:p>
      <w:pPr>
        <w:pStyle w:val="kar_subparagraph"/>
      </w:pPr>
      <w:r>
        <w:t xml:space="preserve">2.</w:t>
      </w:r>
      <w:r>
        <w:t xml:space="preserve"> </w:t>
      </w:r>
      <w:r>
        <w:t xml:space="preserve">Contain the prescribed data elements and information in the order prescribed; and</w:t>
      </w:r>
    </w:p>
    <w:p>
      <w:pPr>
        <w:pStyle w:val="kar_subparagraph"/>
      </w:pPr>
      <w:r>
        <w:t xml:space="preserve">3.</w:t>
      </w:r>
      <w:r>
        <w:t xml:space="preserve"> </w:t>
      </w:r>
      <w:r>
        <w:t xml:space="preserve">Contain data for claims of identified insureds, as requested by the commissioner, that were received in the prior calendar year.</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"Pharmacy Claims Standardized Data Request", 10/2021</w:t>
      </w:r>
      <w:r>
        <w:rPr>
          <w:b/>
          <w:i/>
          <w:u w:val="single"/>
        </w:rPr>
        <w:t xml:space="preserve">; and</w:t>
      </w:r>
    </w:p>
    <w:p>
      <w:pPr>
        <w:pStyle w:val="kar_paragraph"/>
      </w:pPr>
      <w:r>
        <w:t xml:space="preserve">(b)</w:t>
      </w:r>
      <w:r>
        <w:t xml:space="preserve"> </w:t>
      </w:r>
      <w:r>
        <w:t xml:space="preserve">"Medical Claims Standardized Data Request", 10/2021</w:t>
      </w:r>
      <w:r>
        <w:rPr>
          <w:b/>
          <w:i/>
          <w:u w:val="single"/>
        </w:rPr>
        <w:t xml:space="preserv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Administrative Secretary, 500 Mero Street, Frankfort, Kentucky 40601, phone +1 (502) 564-6026, fax +1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8d850505084064" /><Relationship Type="http://schemas.openxmlformats.org/officeDocument/2006/relationships/settings" Target="/word/settings.xml" Id="Rcef6a3d877c64d5e" /></Relationships>
</file>