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08c3157a8d414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The board is authorized by KRS 311B.110(3) 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w:t>
      </w:r>
      <w:r>
        <w:rPr>
          <w:u w:val="single"/>
        </w:rPr>
        <w:t xml:space="preserve">medical imaging</w:t>
      </w:r>
      <w:r>
        <w:t>[</w:t>
      </w:r>
      <w:r>
        <w:rPr>
          <w:strike w:val="true"/>
        </w:rPr>
        <w:t xml:space="preserve">radiologic sciences</w:t>
      </w:r>
      <w:r>
        <w:t>]</w:t>
      </w:r>
      <w:r>
        <w:t xml:space="preserve">, </w:t>
      </w:r>
      <w:r>
        <w:rPr>
          <w:u w:val="single"/>
        </w:rPr>
        <w:t xml:space="preserve">interventional procedures, radiation therapy, </w:t>
      </w:r>
      <w:r>
        <w:t xml:space="preserve">health and medical sciences, social sciences, </w:t>
      </w:r>
      <w:r>
        <w:rPr>
          <w:u w:val="single"/>
        </w:rPr>
        <w:t xml:space="preserve">verbal </w:t>
      </w:r>
      <w:r>
        <w:t xml:space="preserve">communication (</w:t>
      </w:r>
      <w:r>
        <w:rPr>
          <w:u w:val="single"/>
        </w:rPr>
        <w:t xml:space="preserve">oral</w:t>
      </w:r>
      <w:r>
        <w:t>[</w:t>
      </w:r>
      <w:r>
        <w:rPr>
          <w:strike w:val="true"/>
        </w:rPr>
        <w:t xml:space="preserve">verbal</w:t>
      </w:r>
      <w:r>
        <w:t>]</w:t>
      </w:r>
      <w:r>
        <w:t xml:space="preserve"> and written), mathematics, </w:t>
      </w:r>
      <w:r>
        <w:rPr>
          <w:u w:val="single"/>
        </w:rPr>
        <w:t xml:space="preserve">computer use related to medical imaging or radiation therapy</w:t>
      </w:r>
      <w:r>
        <w:t>[</w:t>
      </w:r>
      <w:r>
        <w:rPr>
          <w:strike w:val="true"/>
        </w:rPr>
        <w:t xml:space="preserve">computers</w:t>
      </w:r>
      <w:r>
        <w:t>]</w:t>
      </w:r>
      <w:r>
        <w:t xml:space="preserve">, management, </w:t>
      </w:r>
      <w:r>
        <w:rPr>
          <w:u w:val="single"/>
        </w:rPr>
        <w:t xml:space="preserve">cultural competency and ethics related to medical professionals, </w:t>
      </w:r>
      <w:r>
        <w:t xml:space="preserve">or </w:t>
      </w:r>
      <w:r>
        <w:rPr>
          <w:u w:val="single"/>
        </w:rPr>
        <w:t xml:space="preserve">post-secondary adult </w:t>
      </w:r>
      <w:r>
        <w:t xml:space="preserve">education methodology shall be </w:t>
      </w:r>
      <w:r>
        <w:rPr>
          <w:u w:val="single"/>
        </w:rPr>
        <w:t xml:space="preserve">considered for acceptance</w:t>
      </w:r>
      <w:r>
        <w:t>[</w:t>
      </w:r>
      <w:r>
        <w:rPr>
          <w:strike w:val="true"/>
        </w:rPr>
        <w:t xml:space="preserve">accepted</w:t>
      </w:r>
      <w:r>
        <w:t>]</w:t>
      </w:r>
      <w:r>
        <w:t xml:space="preserve">. Some subject areas that shall not be applicable include </w:t>
      </w:r>
      <w:r>
        <w:rPr>
          <w:u w:val="single"/>
        </w:rPr>
        <w:t xml:space="preserve">formal education clinical hours/credits, independent study, </w:t>
      </w:r>
      <w:r>
        <w:t xml:space="preserve">courses in </w:t>
      </w:r>
      <w:r>
        <w:rPr>
          <w:u w:val="single"/>
        </w:rPr>
        <w:t xml:space="preserve">archeology, </w:t>
      </w:r>
      <w:r>
        <w:t xml:space="preserve">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w:t>
      </w:r>
      <w:r>
        <w:rPr>
          <w:u w:val="single"/>
        </w:rPr>
        <w:t xml:space="preserve">academic quarter </w:t>
      </w:r>
      <w:r>
        <w:t xml:space="preserve">credit hour is equal to </w:t>
      </w:r>
      <w:r>
        <w:rPr>
          <w:u w:val="single"/>
        </w:rPr>
        <w:t xml:space="preserve">twelve (12)</w:t>
      </w:r>
      <w:r>
        <w:t>[</w:t>
      </w:r>
      <w:r>
        <w:rPr>
          <w:strike w:val="true"/>
        </w:rPr>
        <w:t xml:space="preserve">fifteen (15)</w:t>
      </w:r>
      <w:r>
        <w:t>]</w:t>
      </w:r>
      <w:r>
        <w:t xml:space="preserve"> continuing education units</w:t>
      </w:r>
      <w:r>
        <w:rPr>
          <w:u w:val="single"/>
        </w:rPr>
        <w:t xml:space="preserve"> or one (1) academic semester credit hour is equal to sixteen (16) continuing education units</w:t>
      </w:r>
      <w:r>
        <w:t xml:space="preserve">.</w:t>
      </w:r>
    </w:p>
    <w:p>
      <w:pPr>
        <w:pStyle w:val="kar_subsection"/>
      </w:pPr>
      <w:r>
        <w:t>[</w:t>
      </w:r>
      <w:r>
        <w:rPr>
          <w:strike w:val="true"/>
        </w:rPr>
        <w:t xml:space="preserve">(4)</w:t>
      </w:r>
      <w:r>
        <w:t>]</w:t>
      </w:r>
      <w:r>
        <w:t xml:space="preserve"> </w:t>
      </w:r>
      <w:r>
        <w:t>[</w:t>
      </w:r>
      <w:r>
        <w:rPr>
          <w:strike w:val="true"/>
        </w:rPr>
        <w:t xml:space="preserve">A presenter may earn for the development of a continuing education presentation a maximum of twice the continuing education units awarded for the delivery of the presentation. The presenter shall also receive the continuing education approved for attendance at the presentation.</w:t>
      </w:r>
      <w:r>
        <w:t>]</w:t>
      </w:r>
    </w:p>
    <w:p>
      <w:pPr>
        <w:pStyle w:val="kar_subsection"/>
      </w:pPr>
      <w:r>
        <w:t>[</w:t>
      </w:r>
      <w:r>
        <w:rPr>
          <w:strike w:val="true"/>
        </w:rPr>
        <w:t xml:space="preserve">(5)</w:t>
      </w:r>
      <w:r>
        <w:t>]</w:t>
      </w:r>
      <w:r>
        <w:t xml:space="preserve"> </w:t>
      </w:r>
      <w:r>
        <w:t>[</w:t>
      </w:r>
      <w:r>
        <w:rPr>
          <w:strike w:val="true"/>
        </w:rPr>
        <w:t xml:space="preserve">Credit shall not be issued for repeated instruction of the same course within the biennium.</w:t>
      </w:r>
      <w:r>
        <w:t>]</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participant(s)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w:t>
      </w:r>
    </w:p>
    <w:p>
      <w:pPr>
        <w:pStyle w:val="kar_subsection"/>
      </w:pPr>
      <w:r>
        <w:t xml:space="preserve">(2)</w:t>
      </w:r>
      <w:r>
        <w:t xml:space="preserve"> </w:t>
      </w:r>
      <w:r>
        <w:t xml:space="preserve">A copy of the program showing an individual as a presenter of an approved continuing education program; or</w:t>
      </w:r>
    </w:p>
    <w:p>
      <w:pPr>
        <w:pStyle w:val="kar_subsection"/>
      </w:pPr>
      <w:r>
        <w:t xml:space="preserve">(3)</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March 2020; and</w:t>
      </w:r>
    </w:p>
    <w:p>
      <w:pPr>
        <w:pStyle w:val="kar_paragraph"/>
      </w:pPr>
      <w:r>
        <w:t xml:space="preserve">(b)</w:t>
      </w:r>
      <w:r>
        <w:t xml:space="preserve"> </w:t>
      </w:r>
      <w:r>
        <w:t xml:space="preserve">KBMIRT Form 8, "Licensee Continuing Education Documentation Form", March 2020.</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 a.m. to 4:30 p.m.</w:t>
      </w:r>
    </w:p>
    <w:p>
      <w:pPr>
        <w:pStyle w:val="kar_signature"/>
      </w:pPr>
      <w:r>
        <w:t xml:space="preserve">DOYLE DECKER, Board Chair</w:t>
      </w:r>
    </w:p>
    <w:p>
      <w:pPr>
        <w:pStyle w:val="kar_normal"/>
      </w:pPr>
      <w:r>
        <w:t xml:space="preserve"/>
      </w:r>
    </w:p>
    <w:p>
      <w:pPr>
        <w:pStyle w:val="kar_approved_by"/>
      </w:pPr>
      <w:r>
        <w:t xml:space="preserve">APPROVED BY AGENCY: February 9, 2022</w:t>
      </w:r>
    </w:p>
    <w:p>
      <w:pPr>
        <w:pStyle w:val="kar_filed"/>
      </w:pPr>
      <w:r>
        <w:t xml:space="preserve">FILED WITH LRC: February 15, 2022 at 10:35 a.m.</w:t>
      </w:r>
    </w:p>
    <w:p>
      <w:pPr>
        <w:pStyle w:val="kar_normal"/>
      </w:pPr>
      <w:r>
        <w:t xml:space="preserve"/>
      </w:r>
    </w:p>
    <w:p>
      <w:pPr>
        <w:pStyle w:val="kar_comment_period"/>
      </w:pPr>
      <w:r>
        <w:t xml:space="preserve">PUBLIC HEARING AND PUBLIC COMMENT PERIOD: A public hearing on this administrative regulation shall be held at April 27, 2022 at 10:00 a.m. at 125 Holmes Street, Suite 320,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April 30, 2022. Send written notification of intent to be heard at the public hearing or written comments on the proposed administrative regulation to the contact person below.</w:t>
      </w:r>
    </w:p>
    <w:p>
      <w:pPr>
        <w:pStyle w:val="kar_contact_person"/>
      </w:pPr>
      <w:r>
        <w:t xml:space="preserve">CONTACT PERSON: Elizabeth Morgan, Executive Director, 125 Holmes Street, Suite 320, Frankfort, Kentucky 40601, phone +1 (502) 782-5687, fax +1 (502) 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the approval of continuing education, delineates the requirements for continuing education, and prescribes methods and standards for the approval of continuing education courses.</w:t>
      </w:r>
    </w:p>
    <w:p>
      <w:pPr>
        <w:pStyle w:val="kar_normal"/>
        <w:ind w:left="576"/>
      </w:pPr>
      <w:r>
        <w:t xml:space="preserve">(b) The necessity of this administrative regulation:</w:t>
      </w:r>
    </w:p>
    <w:p>
      <w:pPr>
        <w:pStyle w:val="kar_normal"/>
        <w:ind w:left="720"/>
      </w:pPr>
      <w:r>
        <w:t xml:space="preserve">The Board of Medical Imaging and Radiation Therapy is authorized by KRS 311B.010 to 311B.190 to regulate licensees other than licensed practitioners of the healing arts, including but not limited to: the classification and licensure of medical imaging technologists, radiation therapists, radiologist assistants and limited x-ray machine operators; examinations; standards of education and experience; curricula standards for institutions teaching persons to perform medical imaging and radiation therapy procedures; issuance, renewal, and revocation of licenses; the establishment of a reasonable scheduled of fees and charges to be paid by individuals for examinations, licenses and renewal licenses; and to set other standards as may be appropriate for the protection of health and safety. This administrative regulation establishes guidelines for the approval of continuing education, delineates the requirements for continuing education, and prescribes methods and standards for the approval of continuing education courses.</w:t>
      </w:r>
    </w:p>
    <w:p>
      <w:pPr>
        <w:pStyle w:val="kar_normal"/>
        <w:ind w:left="576"/>
      </w:pPr>
      <w:r>
        <w:t xml:space="preserve">(c) How this administrative regulation conforms to the content of the authorizing statutes:</w:t>
      </w:r>
    </w:p>
    <w:p>
      <w:pPr>
        <w:pStyle w:val="kar_normal"/>
        <w:ind w:left="720"/>
      </w:pPr>
      <w:r>
        <w:t xml:space="preserve">KRS 311B.050(4) and KRS 311B.110(6) require the Board to determine and enforce continuing education requirements and establish guidelines for the approval of continuing education. KRS 311B.110(3) requires that all licensees obtain continuing education for ongoing knowledge of current practices in radiation safety and clinical procedures prior to licensure renewals. KRS 311B.080 establishes that the Board shall recognize and enforce current rules and regulations for the nationally recognized professional organizations and certifying bodies for technologists and therapists regulated by this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guidelines for the approval of continuing education, delineates the requirements for continuing education, and prescribes methods and standards for the approval of continuing education courses.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clarity to updated methods of obtaining continuing education credits and removes one of the previously approved methods for obtaining continuing education credits.</w:t>
      </w:r>
    </w:p>
    <w:p>
      <w:pPr>
        <w:pStyle w:val="kar_normal"/>
        <w:ind w:left="576"/>
      </w:pPr>
      <w:r>
        <w:t xml:space="preserve">(b) The necessity of the amendment to this administrative regulation:</w:t>
      </w:r>
    </w:p>
    <w:p>
      <w:pPr>
        <w:pStyle w:val="kar_normal"/>
        <w:ind w:left="720"/>
      </w:pPr>
      <w:r>
        <w:t xml:space="preserve">This amendment is necessary to provide updates to the methods of obtaining continuing education credit and to assure alignment with national certification requirements for continuing education.</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regarding continuing education and to recognize and enforce current rules for certifying bodies for technologists and therapists.</w:t>
      </w:r>
    </w:p>
    <w:p>
      <w:pPr>
        <w:pStyle w:val="kar_normal"/>
        <w:ind w:left="576"/>
      </w:pPr>
      <w:r>
        <w:t xml:space="preserve">(d) How the amendment will assist in the effective administration of the statutes:</w:t>
      </w:r>
    </w:p>
    <w:p>
      <w:pPr>
        <w:pStyle w:val="kar_normal"/>
        <w:ind w:left="720"/>
      </w:pPr>
      <w:r>
        <w:t xml:space="preserve">This amendment will ensure clear understanding of requirements for continuing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7,500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The amendment merely clarifies the continuing education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w:t>
      </w:r>
    </w:p>
    <w:p>
      <w:pPr>
        <w:pStyle w:val="kar_normal"/>
        <w:ind w:left="576"/>
      </w:pPr>
      <w:r>
        <w:t xml:space="preserve">(c) As a result of compliance, what benefits will accrue to the entities identified in question (3):</w:t>
      </w:r>
    </w:p>
    <w:p>
      <w:pPr>
        <w:pStyle w:val="kar_normal"/>
        <w:ind w:left="720"/>
      </w:pPr>
      <w:r>
        <w:t xml:space="preserve">Applicants and licensees benefit by having the continuing education requirements clarified.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any fees or directly or indirectly increase fees.</w:t>
      </w:r>
    </w:p>
    <w:p>
      <w:pPr>
        <w:pStyle w:val="kar_normal"/>
        <w:ind w:left="288"/>
      </w:pPr>
      <w:r>
        <w:t xml:space="preserve">(9) TIERING: Is tiering applied?</w:t>
      </w:r>
    </w:p>
    <w:p>
      <w:pPr>
        <w:pStyle w:val="kar_normal"/>
        <w:ind w:left="432"/>
      </w:pPr>
      <w:r>
        <w:t xml:space="preserve">Tiering is not applied because the continuing education requirements apply equally to licensees.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Medical Imaging and Radiation Therapy will be affected.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311B.010 to KRS 311B.190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There is no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d07cd44064c45" /><Relationship Type="http://schemas.openxmlformats.org/officeDocument/2006/relationships/settings" Target="/word/settings.xml" Id="Rc233ac713dd54af6" /></Relationships>
</file>